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温州市中医院富士超声维保项目</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default"/>
          <w:color w:val="FF0000"/>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45000</w:t>
      </w:r>
      <w:r>
        <w:rPr>
          <w:rFonts w:hint="eastAsia"/>
          <w:color w:val="FF0000"/>
          <w:sz w:val="24"/>
          <w:szCs w:val="24"/>
        </w:rPr>
        <w:t>元</w:t>
      </w:r>
      <w:r>
        <w:rPr>
          <w:rFonts w:hint="eastAsia"/>
          <w:color w:val="FF0000"/>
          <w:sz w:val="24"/>
          <w:szCs w:val="24"/>
          <w:lang w:val="en-US" w:eastAsia="zh-CN"/>
        </w:rPr>
        <w:t>/年</w:t>
      </w:r>
    </w:p>
    <w:p>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bookmarkStart w:id="6" w:name="_GoBack"/>
      <w:bookmarkEnd w:id="6"/>
    </w:p>
    <w:p>
      <w:pPr>
        <w:numPr>
          <w:ilvl w:val="0"/>
          <w:numId w:val="2"/>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中医院富士超声</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台。</w:t>
      </w:r>
    </w:p>
    <w:tbl>
      <w:tblPr>
        <w:tblStyle w:val="13"/>
        <w:tblW w:w="0" w:type="auto"/>
        <w:tblInd w:w="93"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56"/>
        <w:gridCol w:w="2537"/>
        <w:gridCol w:w="2624"/>
        <w:gridCol w:w="1244"/>
        <w:gridCol w:w="227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序号</w:t>
            </w:r>
          </w:p>
        </w:tc>
        <w:tc>
          <w:tcPr>
            <w:tcW w:w="2537"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设备</w:t>
            </w:r>
          </w:p>
        </w:tc>
        <w:tc>
          <w:tcPr>
            <w:tcW w:w="262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型号</w:t>
            </w:r>
          </w:p>
        </w:tc>
        <w:tc>
          <w:tcPr>
            <w:tcW w:w="1244"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品牌</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序列号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ascii="宋体" w:hAnsi="宋体" w:eastAsia="宋体" w:cs="宋体"/>
                <w:sz w:val="22"/>
                <w:szCs w:val="22"/>
              </w:rPr>
            </w:pPr>
            <w:r>
              <w:rPr>
                <w:rFonts w:hint="eastAsia" w:ascii="宋体" w:hAnsi="宋体" w:eastAsia="宋体" w:cs="宋体"/>
                <w:sz w:val="22"/>
                <w:szCs w:val="22"/>
              </w:rPr>
              <w:t>1</w:t>
            </w:r>
          </w:p>
        </w:tc>
        <w:tc>
          <w:tcPr>
            <w:tcW w:w="253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ascii="宋体" w:hAnsi="宋体" w:eastAsia="宋体" w:cs="宋体"/>
                <w:sz w:val="22"/>
                <w:szCs w:val="22"/>
                <w:lang w:eastAsia="zh-CN"/>
              </w:rPr>
            </w:pPr>
            <w:r>
              <w:rPr>
                <w:rFonts w:hint="eastAsia" w:ascii="宋体" w:hAnsi="宋体" w:eastAsia="宋体" w:cs="宋体"/>
                <w:sz w:val="22"/>
                <w:szCs w:val="22"/>
                <w:lang w:eastAsia="zh-CN"/>
              </w:rPr>
              <w:t>超声诊断仪</w:t>
            </w:r>
          </w:p>
        </w:tc>
        <w:tc>
          <w:tcPr>
            <w:tcW w:w="262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ALOKA ARIETTA 850</w:t>
            </w:r>
          </w:p>
        </w:tc>
        <w:tc>
          <w:tcPr>
            <w:tcW w:w="1244"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富士</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z w:val="22"/>
                <w:szCs w:val="22"/>
                <w:highlight w:val="none"/>
                <w:lang w:val="en-US" w:eastAsia="zh-CN"/>
              </w:rPr>
              <w:t>G3165472</w:t>
            </w:r>
          </w:p>
        </w:tc>
      </w:tr>
    </w:tbl>
    <w:p>
      <w:pPr>
        <w:pStyle w:val="8"/>
        <w:rPr>
          <w:rFonts w:hint="eastAsia"/>
        </w:rPr>
      </w:pPr>
    </w:p>
    <w:p>
      <w:pPr>
        <w:spacing w:line="360" w:lineRule="auto"/>
        <w:rPr>
          <w:rFonts w:hint="eastAsia" w:ascii="宋体" w:hAnsi="宋体" w:cs="宋体"/>
          <w:sz w:val="24"/>
          <w:szCs w:val="24"/>
        </w:rPr>
      </w:pPr>
    </w:p>
    <w:p>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3"/>
        <w:tblW w:w="96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7561"/>
        <w:gridCol w:w="13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696" w:type="dxa"/>
            <w:tcBorders>
              <w:top w:val="single" w:color="auto" w:sz="8" w:space="0"/>
              <w:left w:val="single" w:color="auto" w:sz="8" w:space="0"/>
              <w:bottom w:val="single" w:color="auto" w:sz="6" w:space="0"/>
              <w:right w:val="single" w:color="auto" w:sz="6" w:space="0"/>
            </w:tcBorders>
            <w:noWrap/>
            <w:vAlign w:val="center"/>
          </w:tcPr>
          <w:p>
            <w:pPr>
              <w:spacing w:line="460" w:lineRule="exact"/>
              <w:jc w:val="both"/>
              <w:rPr>
                <w:rFonts w:hint="default" w:ascii="新宋体" w:hAnsi="新宋体" w:eastAsia="新宋体"/>
                <w:sz w:val="22"/>
                <w:lang w:val="en-US" w:eastAsia="zh-CN"/>
              </w:rPr>
            </w:pPr>
            <w:r>
              <w:rPr>
                <w:rFonts w:hint="eastAsia" w:ascii="新宋体" w:hAnsi="新宋体" w:eastAsia="新宋体"/>
                <w:sz w:val="22"/>
                <w:lang w:val="en-US" w:eastAsia="zh-CN"/>
              </w:rPr>
              <w:t>序号</w:t>
            </w:r>
          </w:p>
        </w:tc>
        <w:tc>
          <w:tcPr>
            <w:tcW w:w="7561" w:type="dxa"/>
            <w:tcBorders>
              <w:top w:val="single" w:color="auto" w:sz="8" w:space="0"/>
              <w:left w:val="single" w:color="auto" w:sz="6" w:space="0"/>
              <w:bottom w:val="single" w:color="auto" w:sz="6" w:space="0"/>
              <w:right w:val="single" w:color="auto" w:sz="6" w:space="0"/>
            </w:tcBorders>
            <w:noWrap/>
            <w:vAlign w:val="center"/>
          </w:tcPr>
          <w:p>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c>
          <w:tcPr>
            <w:tcW w:w="1393" w:type="dxa"/>
            <w:tcBorders>
              <w:top w:val="single" w:color="auto" w:sz="8" w:space="0"/>
              <w:left w:val="single" w:color="auto" w:sz="6" w:space="0"/>
              <w:bottom w:val="single" w:color="auto" w:sz="6" w:space="0"/>
              <w:right w:val="single" w:color="auto" w:sz="6" w:space="0"/>
            </w:tcBorders>
            <w:noWrap/>
            <w:vAlign w:val="center"/>
          </w:tcPr>
          <w:p>
            <w:pPr>
              <w:spacing w:line="460" w:lineRule="exact"/>
              <w:jc w:val="both"/>
              <w:rPr>
                <w:rFonts w:hint="eastAsia" w:ascii="新宋体" w:hAnsi="新宋体" w:eastAsia="新宋体" w:cs="Times New Roman"/>
                <w:sz w:val="22"/>
                <w:lang w:val="en-US" w:eastAsia="zh-CN"/>
              </w:rPr>
            </w:pPr>
            <w:r>
              <w:rPr>
                <w:rFonts w:hint="eastAsia" w:ascii="新宋体" w:hAnsi="新宋体" w:eastAsia="新宋体"/>
                <w:sz w:val="22"/>
                <w:lang w:val="en-US" w:eastAsia="zh-CN"/>
              </w:rPr>
              <w:t>投标响应</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所有更换的零部件必须为原厂认证或测试合格件。更换不合格、不符合设备性能要求备件，相应法律责任由供应商承担</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2</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投标人具备 800 或 400 报修热线，提供 365 天，7*24 小时热线支持，有临床应用专家和维修专家实时在线服务</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响应时间：接到医院报修后，工程师 2 小时内电话响应，紧急故障若电话交流无法解决，则工程师 24 小时内到达现场，常规维修备件确认后 24 小时内送达现场</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4★</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保证保修期内开机率≥95%（按全年 365 天计算，不分节假日），如开机率达不到要求，每超过一天保修期相应延长 7 天</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5</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投标人必须具备充足的备品备件供应能力可以保证备品备件更快速地送达采购方医院现场，要求投标人必须在国内设有专业、充足的设备零备件仓库；备件库数量≥2 个</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6</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投标人具备的完备的技术支持团队，技术团队人员≥5 人，提供供应商为其缴纳近 3 个月内社保证明</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7</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提供一年不少于 4 次的专业保养，包含但不限于如下项目：设备外观全面清洁、基础性能检测、探头专项养护、电路与连接检查等，并提供符合设备质控要求的保养报告</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供应商需为投入本项目的服务人员购买雇主责任等保险，若在维保过程中发生任何安全责任事故的，责任由中标人承担。提供证明文件</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投标人在开展医疗设备维保服务工作中，所提供维修服务符合T/ZAME 11-2025《医用超声诊断仪维修维护服务规范》标准要求，提供证明文件</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服务期内维保服务不限人工次数，无限常规及特殊配件保修、更换。</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11</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中标人在完成当年的维保服务后，须向采购人提交完整的年度维保报告</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图像质控：保证图像质量，要求符合检测指标</w:t>
            </w:r>
          </w:p>
        </w:tc>
        <w:tc>
          <w:tcPr>
            <w:tcW w:w="1393"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96" w:type="dxa"/>
            <w:tcBorders>
              <w:top w:val="single" w:color="auto" w:sz="6" w:space="0"/>
              <w:left w:val="single" w:color="auto" w:sz="8" w:space="0"/>
              <w:bottom w:val="single" w:color="auto" w:sz="6" w:space="0"/>
              <w:right w:val="single" w:color="auto" w:sz="6" w:space="0"/>
            </w:tcBorders>
            <w:noWrap/>
            <w:vAlign w:val="center"/>
          </w:tcPr>
          <w:p>
            <w:pPr>
              <w:keepNext w:val="0"/>
              <w:keepLines w:val="0"/>
              <w:widowControl/>
              <w:suppressLineNumbers w:val="0"/>
              <w:jc w:val="center"/>
              <w:textAlignment w:val="center"/>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13</w:t>
            </w:r>
          </w:p>
        </w:tc>
        <w:tc>
          <w:tcPr>
            <w:tcW w:w="7561"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保修期内确保设备处于优良运行状态，为设备提供安全检查、质量保证，保证设备符合相应的国内法律法规规定标准。</w:t>
            </w:r>
          </w:p>
        </w:tc>
        <w:tc>
          <w:tcPr>
            <w:tcW w:w="1393" w:type="dxa"/>
            <w:tcBorders>
              <w:top w:val="single" w:color="auto" w:sz="6" w:space="0"/>
              <w:left w:val="single" w:color="auto" w:sz="6" w:space="0"/>
              <w:bottom w:val="single" w:color="auto" w:sz="6" w:space="0"/>
              <w:right w:val="single" w:color="auto" w:sz="6"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pPr>
        <w:spacing w:line="360" w:lineRule="auto"/>
        <w:rPr>
          <w:rFonts w:hint="eastAsia" w:ascii="宋体" w:hAnsi="宋体" w:cs="宋体"/>
          <w:b/>
          <w:bCs/>
          <w:sz w:val="28"/>
          <w:szCs w:val="28"/>
        </w:rPr>
      </w:pPr>
      <w:r>
        <w:rPr>
          <w:rFonts w:hint="eastAsia" w:ascii="宋体" w:hAnsi="宋体" w:cs="宋体"/>
          <w:b/>
          <w:bCs/>
          <w:sz w:val="28"/>
          <w:szCs w:val="28"/>
        </w:rPr>
        <w:t>五、付款方式：</w:t>
      </w:r>
    </w:p>
    <w:p>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维保周期结束后由区域负责工程师对该台设备的维保服务进行评价，评价合格及以上60工作日内付清剩余合同款项，如不合格进行处罚扣除部分剩余合同款项</w:t>
      </w:r>
      <w:r>
        <w:rPr>
          <w:rFonts w:hint="eastAsia" w:ascii="宋体" w:hAnsi="宋体" w:cs="宋体"/>
          <w:sz w:val="24"/>
        </w:rPr>
        <w:t xml:space="preserve">。 </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rPr>
          <w:rFonts w:hint="eastAsia"/>
          <w:lang w:val="en-US" w:eastAsia="zh-CN"/>
        </w:rPr>
      </w:pPr>
    </w:p>
    <w:p>
      <w:pPr>
        <w:pStyle w:val="4"/>
        <w:spacing w:line="360" w:lineRule="auto"/>
        <w:rPr>
          <w:rFonts w:hint="default" w:eastAsia="宋体"/>
          <w:sz w:val="28"/>
          <w:szCs w:val="28"/>
          <w:lang w:val="en-US" w:eastAsia="zh-CN"/>
        </w:rPr>
      </w:pPr>
    </w:p>
    <w:p>
      <w:pPr>
        <w:rPr>
          <w:rFonts w:hint="default" w:eastAsia="宋体"/>
          <w:sz w:val="28"/>
          <w:szCs w:val="28"/>
          <w:lang w:val="en-US" w:eastAsia="zh-CN"/>
        </w:rPr>
      </w:pPr>
    </w:p>
    <w:p>
      <w:pPr>
        <w:pStyle w:val="2"/>
        <w:rPr>
          <w:rFonts w:hint="default" w:eastAsia="宋体"/>
          <w:sz w:val="28"/>
          <w:szCs w:val="28"/>
          <w:lang w:val="en-US" w:eastAsia="zh-CN"/>
        </w:rPr>
      </w:pP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pPr>
        <w:rPr>
          <w:rFonts w:hint="eastAsia"/>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采购需求响应</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全部满足采购文件“技术需求”要求的得满分 35 分。打“★”的重要参数出现负偏离每一小项扣 5 分，普通参数出现负偏离每一小项扣 2 分</w:t>
            </w:r>
            <w:r>
              <w:rPr>
                <w:rFonts w:hint="eastAsia" w:ascii="新宋体" w:hAnsi="新宋体" w:eastAsia="新宋体" w:cs="新宋体"/>
                <w:bCs/>
                <w:color w:val="auto"/>
                <w:sz w:val="22"/>
                <w:szCs w:val="22"/>
                <w:highlight w:val="none"/>
              </w:rPr>
              <w:t>，扣完为止。</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供应商能力</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自 2023 年 1 月 1 日起（以合同签订时间为准）供应商具</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有的超声设备维保服务业绩，每提供一份业绩证明得 0.5</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分，最多 1 分</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供应商具有质量管理体系认证证书的得 1 分；环境管理体系认证证书的得 1 分；具有信息安全管理体系认证证书的得 1 分，满分 3 分；（投标文件中同时提供有效的证书复印件加盖公章、国家认证认可监督管理委员会官网查询截图）</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3</w:t>
            </w:r>
            <w:r>
              <w:rPr>
                <w:rFonts w:hint="eastAsia" w:ascii="新宋体" w:hAnsi="新宋体" w:eastAsia="新宋体" w:cs="新宋体"/>
                <w:color w:val="auto"/>
                <w:sz w:val="22"/>
                <w:szCs w:val="2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eastAsia="zh-CN"/>
              </w:rPr>
              <w:t>供应商提供维修服务符合《医用医用超声诊断仪维修维护服务规范》的技术性证明文件或作为主要起草单位及参与起草单位的证明文件，得 2 分</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服务方案</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保养维修方案：根据维修服务流程、保修保养服务流程规范详尽、合理、完整、具有可操作性继续综合评分（评分范围：5，4，3，2，1，0）</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质量保证措施：根据供应商提供的质量保障措施，包括但不限于设备的性能检测、校准、计量措施进行综合评分（评分范围：5，4，3，2，1，0）</w:t>
            </w:r>
          </w:p>
        </w:tc>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5</w:t>
            </w:r>
            <w:r>
              <w:rPr>
                <w:rFonts w:hint="eastAsia" w:ascii="新宋体" w:hAnsi="新宋体" w:eastAsia="新宋体" w:cs="新宋体"/>
                <w:color w:val="auto"/>
                <w:sz w:val="22"/>
                <w:szCs w:val="22"/>
                <w:highlight w:val="none"/>
                <w:lang w:val="en-US" w:eastAsia="zh-CN"/>
              </w:rPr>
              <w:t>分</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故障预防诊断措施及管理制度：针对本次维保服务服务制定的故障预防诊断措施及管理制度等内容进行综合评分。（评分范围：5，4，3，2，1，0）</w:t>
            </w:r>
          </w:p>
        </w:tc>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5</w:t>
            </w:r>
            <w:r>
              <w:rPr>
                <w:rFonts w:hint="eastAsia" w:ascii="新宋体" w:hAnsi="新宋体" w:eastAsia="新宋体" w:cs="新宋体"/>
                <w:color w:val="auto"/>
                <w:sz w:val="22"/>
                <w:szCs w:val="22"/>
                <w:highlight w:val="none"/>
                <w:lang w:val="en-US" w:eastAsia="zh-CN"/>
              </w:rPr>
              <w:t>分</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现场人员管理：根据供应商提供的设备维保实施方案及现场人员管理方案内容的可实施性及全面性综合评分。（评分范围：5，4，3，2，1，0）</w:t>
            </w:r>
          </w:p>
        </w:tc>
        <w:tc>
          <w:tcPr>
            <w:tcW w:w="7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5</w:t>
            </w:r>
            <w:r>
              <w:rPr>
                <w:rFonts w:hint="eastAsia" w:ascii="新宋体" w:hAnsi="新宋体" w:eastAsia="新宋体" w:cs="新宋体"/>
                <w:color w:val="auto"/>
                <w:sz w:val="22"/>
                <w:szCs w:val="22"/>
                <w:highlight w:val="none"/>
                <w:lang w:val="en-US" w:eastAsia="zh-CN"/>
              </w:rPr>
              <w:t>分</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应急预案：根据供应商提供的针对本项目服务期间突发事件重大事件的应急及保障措施方案进行综合评分（评分范围：5，4，3，2，1，0）</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5</w:t>
            </w:r>
            <w:r>
              <w:rPr>
                <w:rFonts w:hint="eastAsia" w:ascii="新宋体" w:hAnsi="新宋体" w:eastAsia="新宋体" w:cs="新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培训方案：根据供应商提出的针对本项目的培训方案等进行综合评分（评分范围：3，2，1，0）</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3</w:t>
            </w:r>
            <w:r>
              <w:rPr>
                <w:rFonts w:hint="eastAsia" w:ascii="新宋体" w:hAnsi="新宋体" w:eastAsia="新宋体" w:cs="新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维修响应速度</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评委根据投标人提出的针对本项目的维修响应速度服务承诺给分，维修响应速度服务承诺合理的得 3 分，较合理的得 2 分，差的得 1 分，不合理不得分。</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3</w:t>
            </w:r>
            <w:r>
              <w:rPr>
                <w:rFonts w:hint="eastAsia" w:ascii="新宋体" w:hAnsi="新宋体" w:eastAsia="新宋体" w:cs="新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备件库情况</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提供仓库证明文件，备件库自有的需提供产权归属于投标人的产权证书、现场实景照片、备件库地址；备件库租赁的需提供出租方的产权证明、有效租赁合同、现场实景照片、备件库地址。每提供一个仓库证明文件的得 1分，最高得 2 分。</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2</w:t>
            </w:r>
            <w:r>
              <w:rPr>
                <w:rFonts w:hint="eastAsia" w:ascii="新宋体" w:hAnsi="新宋体" w:eastAsia="新宋体" w:cs="新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服务团队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根据投标人配备的维修工程师工作履历，维修、维保能力进行评审，提供人员相关能力证明及近 3 个月内任意 1 个月的社保证明（评分范围：3，2，1，0）</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r>
    </w:tbl>
    <w:p>
      <w:pPr>
        <w:rPr>
          <w:rFonts w:hint="eastAsia"/>
        </w:rPr>
      </w:pPr>
    </w:p>
    <w:p>
      <w:pPr>
        <w:numPr>
          <w:ilvl w:val="0"/>
          <w:numId w:val="3"/>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温州市中医院富士超声维保项目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温州市中医院富士超声维保项目</w:t>
            </w:r>
          </w:p>
        </w:tc>
        <w:tc>
          <w:tcPr>
            <w:tcW w:w="1866" w:type="dxa"/>
            <w:vMerge w:val="restart"/>
            <w:noWrap w:val="0"/>
            <w:vAlign w:val="center"/>
          </w:tcPr>
          <w:p>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982"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bookmarkStart w:id="4" w:name="OLE_LINK1"/>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4"/>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4"/>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pPr>
        <w:spacing w:line="360" w:lineRule="auto"/>
        <w:ind w:firstLine="3092" w:firstLineChars="1100"/>
        <w:jc w:val="both"/>
        <w:rPr>
          <w:rFonts w:hint="eastAsia" w:ascii="宋体" w:hAnsi="宋体" w:eastAsia="宋体" w:cs="宋体"/>
          <w:b/>
          <w:bCs/>
          <w:caps/>
          <w:sz w:val="28"/>
          <w:szCs w:val="28"/>
          <w:lang w:eastAsia="zh-CN"/>
        </w:rPr>
      </w:pPr>
    </w:p>
    <w:p>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67B"/>
    <w:multiLevelType w:val="singleLevel"/>
    <w:tmpl w:val="E2CF367B"/>
    <w:lvl w:ilvl="0" w:tentative="0">
      <w:start w:val="1"/>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A02ED19"/>
    <w:multiLevelType w:val="singleLevel"/>
    <w:tmpl w:val="6A02ED1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TM1ODcxZjQ3NGE4ODE2Njg0ODFkZTMzOWI0Z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5CB3219"/>
    <w:rsid w:val="0BDA4362"/>
    <w:rsid w:val="0D7E59B8"/>
    <w:rsid w:val="0F427144"/>
    <w:rsid w:val="0F9C6A6C"/>
    <w:rsid w:val="0FFF40C5"/>
    <w:rsid w:val="1124087B"/>
    <w:rsid w:val="114C0F78"/>
    <w:rsid w:val="114E421F"/>
    <w:rsid w:val="15017D68"/>
    <w:rsid w:val="154327F2"/>
    <w:rsid w:val="15F0193F"/>
    <w:rsid w:val="16586A57"/>
    <w:rsid w:val="16F2475C"/>
    <w:rsid w:val="198C252E"/>
    <w:rsid w:val="1DB11BE9"/>
    <w:rsid w:val="1E2678BE"/>
    <w:rsid w:val="1E612507"/>
    <w:rsid w:val="1FF8266F"/>
    <w:rsid w:val="203F5CE6"/>
    <w:rsid w:val="220D5A31"/>
    <w:rsid w:val="253F05F7"/>
    <w:rsid w:val="26614AE7"/>
    <w:rsid w:val="26FD449C"/>
    <w:rsid w:val="2783116B"/>
    <w:rsid w:val="27BC190D"/>
    <w:rsid w:val="2C0B329E"/>
    <w:rsid w:val="2C2438C8"/>
    <w:rsid w:val="2EE23DA1"/>
    <w:rsid w:val="2FFD1365"/>
    <w:rsid w:val="32C5156E"/>
    <w:rsid w:val="33F15215"/>
    <w:rsid w:val="345A29A7"/>
    <w:rsid w:val="34E95E89"/>
    <w:rsid w:val="35B42E80"/>
    <w:rsid w:val="365A7C39"/>
    <w:rsid w:val="370E1BD7"/>
    <w:rsid w:val="38620F4A"/>
    <w:rsid w:val="3AA307AA"/>
    <w:rsid w:val="3B8853D8"/>
    <w:rsid w:val="3D4A148F"/>
    <w:rsid w:val="3FFF3ABB"/>
    <w:rsid w:val="42442951"/>
    <w:rsid w:val="435E173B"/>
    <w:rsid w:val="442D7AA8"/>
    <w:rsid w:val="4642189D"/>
    <w:rsid w:val="4B9E1807"/>
    <w:rsid w:val="4BB26B7D"/>
    <w:rsid w:val="4BE53E96"/>
    <w:rsid w:val="4C5752EB"/>
    <w:rsid w:val="50250266"/>
    <w:rsid w:val="54EF499E"/>
    <w:rsid w:val="55501C62"/>
    <w:rsid w:val="55F33501"/>
    <w:rsid w:val="57A36574"/>
    <w:rsid w:val="58C3686E"/>
    <w:rsid w:val="58D72375"/>
    <w:rsid w:val="58DD5B64"/>
    <w:rsid w:val="591E1A6A"/>
    <w:rsid w:val="5CC76201"/>
    <w:rsid w:val="5DAF6DF6"/>
    <w:rsid w:val="5F3D5DBA"/>
    <w:rsid w:val="619D39D4"/>
    <w:rsid w:val="62404A8B"/>
    <w:rsid w:val="628A0450"/>
    <w:rsid w:val="63750765"/>
    <w:rsid w:val="642B0A6B"/>
    <w:rsid w:val="67157B94"/>
    <w:rsid w:val="68C80848"/>
    <w:rsid w:val="69612182"/>
    <w:rsid w:val="69F543AD"/>
    <w:rsid w:val="724D0AFE"/>
    <w:rsid w:val="72AB2F31"/>
    <w:rsid w:val="72E83474"/>
    <w:rsid w:val="72F62F44"/>
    <w:rsid w:val="73F11CC8"/>
    <w:rsid w:val="73F423CB"/>
    <w:rsid w:val="74433BD6"/>
    <w:rsid w:val="74CA388D"/>
    <w:rsid w:val="75304775"/>
    <w:rsid w:val="78362761"/>
    <w:rsid w:val="79F966D5"/>
    <w:rsid w:val="7D157584"/>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spacing w:line="540" w:lineRule="atLeast"/>
      <w:outlineLvl w:val="3"/>
    </w:pPr>
    <w:rPr>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6">
    <w:name w:val="Normal Indent"/>
    <w:basedOn w:val="1"/>
    <w:next w:val="1"/>
    <w:autoRedefine/>
    <w:qFormat/>
    <w:uiPriority w:val="0"/>
    <w:pPr>
      <w:ind w:firstLine="420"/>
    </w:pPr>
    <w:rPr>
      <w:szCs w:val="20"/>
    </w:rPr>
  </w:style>
  <w:style w:type="paragraph" w:styleId="7">
    <w:name w:val="Body Text"/>
    <w:basedOn w:val="1"/>
    <w:next w:val="8"/>
    <w:autoRedefine/>
    <w:qFormat/>
    <w:uiPriority w:val="0"/>
    <w:pPr>
      <w:spacing w:after="120" w:afterLines="0"/>
    </w:pPr>
  </w:style>
  <w:style w:type="paragraph" w:styleId="8">
    <w:name w:val="Body Text First Indent"/>
    <w:basedOn w:val="7"/>
    <w:next w:val="9"/>
    <w:autoRedefine/>
    <w:semiHidden/>
    <w:unhideWhenUsed/>
    <w:qFormat/>
    <w:uiPriority w:val="99"/>
    <w:pPr>
      <w:ind w:firstLine="420" w:firstLineChars="100"/>
    </w:pPr>
    <w:rPr>
      <w:rFonts w:asciiTheme="minorHAnsi" w:hAnsiTheme="minorHAnsi" w:eastAsiaTheme="minorEastAsia" w:cstheme="minorBidi"/>
      <w:szCs w:val="22"/>
    </w:rPr>
  </w:style>
  <w:style w:type="paragraph" w:styleId="9">
    <w:name w:val="toc 6"/>
    <w:basedOn w:val="1"/>
    <w:next w:val="1"/>
    <w:autoRedefine/>
    <w:qFormat/>
    <w:uiPriority w:val="0"/>
    <w:pPr>
      <w:ind w:left="2100" w:leftChars="1000"/>
    </w:p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footer"/>
    <w:basedOn w:val="1"/>
    <w:link w:val="20"/>
    <w:autoRedefine/>
    <w:qFormat/>
    <w:uiPriority w:val="0"/>
    <w:pPr>
      <w:tabs>
        <w:tab w:val="center" w:pos="4153"/>
        <w:tab w:val="right" w:pos="8306"/>
      </w:tabs>
      <w:snapToGrid w:val="0"/>
      <w:jc w:val="left"/>
    </w:pPr>
    <w:rPr>
      <w:sz w:val="18"/>
      <w:szCs w:val="18"/>
    </w:rPr>
  </w:style>
  <w:style w:type="paragraph" w:styleId="12">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autoRedefine/>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2"/>
    <w:autoRedefine/>
    <w:qFormat/>
    <w:uiPriority w:val="0"/>
    <w:rPr>
      <w:kern w:val="2"/>
      <w:sz w:val="18"/>
      <w:szCs w:val="18"/>
    </w:rPr>
  </w:style>
  <w:style w:type="character" w:customStyle="1" w:styleId="20">
    <w:name w:val="页脚 Char"/>
    <w:basedOn w:val="15"/>
    <w:link w:val="11"/>
    <w:autoRedefine/>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3591</Words>
  <Characters>3672</Characters>
  <Lines>17</Lines>
  <Paragraphs>4</Paragraphs>
  <TotalTime>974</TotalTime>
  <ScaleCrop>false</ScaleCrop>
  <LinksUpToDate>false</LinksUpToDate>
  <CharactersWithSpaces>3789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李恩贤</cp:lastModifiedBy>
  <dcterms:modified xsi:type="dcterms:W3CDTF">2026-03-20T02:05:46Z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AD3397188FBA4F56B0907FD806492EE5_13</vt:lpwstr>
  </property>
  <property fmtid="{D5CDD505-2E9C-101B-9397-08002B2CF9AE}" pid="4" name="KSOTemplateDocerSaveRecord">
    <vt:lpwstr>eyJoZGlkIjoiNmMyMTAzZGJhYmZjM2QxZDk4OTE3MDVkMTNlYTIzODgiLCJ1c2VySWQiOiIyNjc5NjA4NjEifQ==</vt:lpwstr>
  </property>
</Properties>
</file>