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lear" w:pos="840"/>
        </w:tabs>
        <w:adjustRightInd/>
        <w:snapToGrid/>
        <w:spacing w:before="120" w:after="120" w:line="300" w:lineRule="exact"/>
        <w:jc w:val="center"/>
        <w:rPr>
          <w:rFonts w:hint="eastAsia"/>
          <w:b/>
          <w:bCs/>
          <w:sz w:val="40"/>
          <w:szCs w:val="40"/>
        </w:rPr>
      </w:pPr>
      <w:bookmarkStart w:id="0" w:name="_Toc451522337"/>
      <w:r>
        <w:rPr>
          <w:rFonts w:hint="eastAsia" w:ascii="宋体" w:hAnsi="宋体" w:eastAsia="宋体" w:cs="宋体"/>
          <w:color w:val="000000"/>
          <w:sz w:val="40"/>
          <w:szCs w:val="40"/>
        </w:rPr>
        <w:t>温州市中医院</w:t>
      </w:r>
      <w:bookmarkEnd w:id="0"/>
      <w:r>
        <w:rPr>
          <w:rFonts w:hint="eastAsia" w:hAnsi="宋体" w:cs="宋体"/>
          <w:color w:val="000000"/>
          <w:sz w:val="40"/>
          <w:szCs w:val="40"/>
          <w:lang w:val="en-US" w:eastAsia="zh-CN"/>
        </w:rPr>
        <w:t>显示器采购</w:t>
      </w:r>
      <w:r>
        <w:rPr>
          <w:rFonts w:hint="eastAsia" w:ascii="宋体" w:hAnsi="宋体" w:eastAsia="宋体" w:cs="宋体"/>
          <w:color w:val="000000"/>
          <w:sz w:val="40"/>
          <w:szCs w:val="40"/>
          <w:lang w:val="en-US" w:eastAsia="zh-CN"/>
        </w:rPr>
        <w:t>文件</w:t>
      </w:r>
    </w:p>
    <w:p>
      <w:pPr>
        <w:spacing w:line="360" w:lineRule="auto"/>
        <w:rPr>
          <w:rFonts w:hint="eastAsia"/>
          <w:b/>
          <w:bCs/>
          <w:sz w:val="28"/>
          <w:szCs w:val="28"/>
        </w:rPr>
      </w:pPr>
      <w:r>
        <w:rPr>
          <w:rFonts w:hint="eastAsia"/>
          <w:b/>
          <w:bCs/>
          <w:sz w:val="28"/>
          <w:szCs w:val="28"/>
        </w:rPr>
        <w:t>一、项目概况</w:t>
      </w:r>
    </w:p>
    <w:p>
      <w:pPr>
        <w:spacing w:line="360" w:lineRule="auto"/>
        <w:ind w:firstLine="480" w:firstLineChars="200"/>
        <w:rPr>
          <w:rFonts w:hint="eastAsia" w:ascii="宋体" w:hAnsi="宋体" w:eastAsia="宋体" w:cs="宋体"/>
          <w:b w:val="0"/>
          <w:bCs w:val="0"/>
          <w:sz w:val="24"/>
          <w:u w:val="none"/>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bookmarkStart w:id="1" w:name="OLE_LINK2"/>
      <w:r>
        <w:rPr>
          <w:rFonts w:hint="eastAsia" w:ascii="宋体" w:hAnsi="宋体" w:eastAsia="宋体" w:cs="宋体"/>
          <w:b w:val="0"/>
          <w:bCs w:val="0"/>
          <w:sz w:val="24"/>
          <w:szCs w:val="24"/>
          <w:lang w:val="en-US" w:eastAsia="zh-Hans"/>
        </w:rPr>
        <w:t>温州市中医院</w:t>
      </w:r>
      <w:bookmarkStart w:id="2" w:name="OLE_LINK1"/>
      <w:r>
        <w:rPr>
          <w:rFonts w:hint="eastAsia" w:ascii="宋体" w:hAnsi="宋体" w:eastAsia="宋体" w:cs="宋体"/>
          <w:b w:val="0"/>
          <w:bCs w:val="0"/>
          <w:sz w:val="24"/>
          <w:u w:val="none"/>
          <w:lang w:val="en-US" w:eastAsia="zh-CN"/>
        </w:rPr>
        <w:t>显示器采购</w:t>
      </w:r>
      <w:bookmarkEnd w:id="1"/>
      <w:bookmarkEnd w:id="2"/>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pStyle w:val="8"/>
        <w:spacing w:line="360" w:lineRule="auto"/>
        <w:ind w:left="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预算金额：</w:t>
      </w:r>
      <w:r>
        <w:rPr>
          <w:rFonts w:hint="eastAsia" w:ascii="宋体" w:hAnsi="宋体" w:eastAsia="宋体" w:cs="宋体"/>
          <w:b w:val="0"/>
          <w:bCs w:val="0"/>
          <w:sz w:val="24"/>
          <w:szCs w:val="24"/>
          <w:lang w:val="en-US" w:eastAsia="zh-CN"/>
        </w:rPr>
        <w:t>60000元</w:t>
      </w:r>
    </w:p>
    <w:p>
      <w:pPr>
        <w:pStyle w:val="8"/>
        <w:numPr>
          <w:ilvl w:val="0"/>
          <w:numId w:val="2"/>
        </w:numPr>
        <w:spacing w:line="360" w:lineRule="auto"/>
        <w:ind w:firstLine="0" w:firstLineChars="0"/>
        <w:rPr>
          <w:rFonts w:hint="eastAsia" w:ascii="宋体" w:hAnsi="宋体" w:eastAsia="宋体" w:cs="宋体"/>
          <w:b/>
          <w:bCs/>
          <w:sz w:val="28"/>
          <w:szCs w:val="28"/>
        </w:rPr>
      </w:pPr>
      <w:r>
        <w:rPr>
          <w:rFonts w:hint="eastAsia" w:ascii="宋体" w:hAnsi="宋体" w:eastAsia="宋体" w:cs="宋体"/>
          <w:b/>
          <w:bCs/>
          <w:sz w:val="28"/>
          <w:szCs w:val="28"/>
          <w:lang w:val="en-US" w:eastAsia="zh-CN"/>
        </w:rPr>
        <w:t>项目内容及要求</w:t>
      </w:r>
      <w:r>
        <w:rPr>
          <w:rFonts w:hint="eastAsia" w:ascii="宋体" w:hAnsi="宋体" w:eastAsia="宋体" w:cs="宋体"/>
          <w:b/>
          <w:bCs/>
          <w:sz w:val="28"/>
          <w:szCs w:val="28"/>
        </w:rPr>
        <w:t>：</w:t>
      </w:r>
    </w:p>
    <w:p>
      <w:pPr>
        <w:pStyle w:val="8"/>
        <w:numPr>
          <w:ilvl w:val="0"/>
          <w:numId w:val="0"/>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1、采购内容</w:t>
      </w:r>
    </w:p>
    <w:tbl>
      <w:tblPr>
        <w:tblStyle w:val="14"/>
        <w:tblW w:w="9535"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5"/>
        <w:gridCol w:w="3160"/>
        <w:gridCol w:w="1755"/>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b/>
                <w:bCs/>
                <w:sz w:val="24"/>
                <w:szCs w:val="24"/>
                <w:lang w:val="en-US" w:eastAsia="zh-CN"/>
              </w:rPr>
              <w:t>序号</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rPr>
            </w:pPr>
            <w:r>
              <w:rPr>
                <w:rFonts w:hint="eastAsia"/>
                <w:b/>
                <w:bCs/>
                <w:sz w:val="24"/>
                <w:szCs w:val="24"/>
                <w:lang w:val="en-US" w:eastAsia="zh-CN"/>
              </w:rPr>
              <w:t>产品名称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rPr>
            </w:pPr>
            <w:r>
              <w:rPr>
                <w:rFonts w:hint="eastAsia"/>
                <w:b/>
                <w:bCs/>
                <w:sz w:val="24"/>
                <w:szCs w:val="24"/>
              </w:rPr>
              <w:t>数量</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b/>
                <w:bCs/>
                <w:sz w:val="24"/>
                <w:szCs w:val="24"/>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1</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宋体" w:hAnsi="宋体" w:eastAsia="宋体" w:cs="宋体"/>
                <w:i w:val="0"/>
                <w:iCs w:val="0"/>
                <w:color w:val="000000"/>
                <w:sz w:val="24"/>
                <w:szCs w:val="24"/>
                <w:u w:val="none"/>
                <w:lang w:val="en-US"/>
              </w:rPr>
            </w:pPr>
            <w:r>
              <w:rPr>
                <w:rFonts w:hint="eastAsia" w:ascii="宋体" w:hAnsi="宋体" w:eastAsia="宋体" w:cs="宋体"/>
                <w:b w:val="0"/>
                <w:bCs w:val="0"/>
                <w:sz w:val="24"/>
                <w:szCs w:val="24"/>
                <w:lang w:val="en-US" w:eastAsia="zh-CN"/>
              </w:rPr>
              <w:t>显示器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台</w:t>
            </w:r>
          </w:p>
        </w:tc>
      </w:tr>
    </w:tbl>
    <w:p>
      <w:pPr>
        <w:pStyle w:val="8"/>
        <w:widowControl w:val="0"/>
        <w:numPr>
          <w:ilvl w:val="0"/>
          <w:numId w:val="0"/>
        </w:numPr>
        <w:jc w:val="both"/>
        <w:rPr>
          <w:rFonts w:hint="default" w:ascii="宋体" w:hAnsi="宋体" w:eastAsia="宋体" w:cs="宋体"/>
          <w:sz w:val="24"/>
          <w:lang w:val="en-US" w:eastAsia="zh-CN"/>
        </w:rPr>
      </w:pPr>
    </w:p>
    <w:p>
      <w:pPr>
        <w:pStyle w:val="8"/>
        <w:widowControl w:val="0"/>
        <w:numPr>
          <w:ilvl w:val="0"/>
          <w:numId w:val="0"/>
        </w:numPr>
        <w:jc w:val="both"/>
        <w:rPr>
          <w:rFonts w:hint="default" w:ascii="宋体" w:hAnsi="宋体" w:eastAsia="宋体" w:cs="宋体"/>
          <w:b/>
          <w:bCs/>
          <w:sz w:val="24"/>
          <w:lang w:val="en-US" w:eastAsia="zh-CN"/>
        </w:rPr>
      </w:pPr>
      <w:r>
        <w:rPr>
          <w:rFonts w:hint="eastAsia" w:ascii="宋体" w:hAnsi="宋体" w:eastAsia="宋体" w:cs="宋体"/>
          <w:b/>
          <w:bCs/>
          <w:sz w:val="24"/>
          <w:lang w:val="en-US" w:eastAsia="zh-CN"/>
        </w:rPr>
        <w:t>2、采购</w:t>
      </w:r>
      <w:r>
        <w:rPr>
          <w:b/>
          <w:bCs/>
          <w:sz w:val="24"/>
        </w:rPr>
        <w:t>要求</w:t>
      </w:r>
    </w:p>
    <w:tbl>
      <w:tblPr>
        <w:tblStyle w:val="15"/>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920"/>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bookmarkStart w:id="3" w:name="OLE_LINK24"/>
            <w:r>
              <w:rPr>
                <w:rFonts w:hint="eastAsia" w:ascii="宋体" w:hAnsi="宋体" w:eastAsia="宋体" w:cs="宋体"/>
                <w:i w:val="0"/>
                <w:iCs w:val="0"/>
                <w:color w:val="000000"/>
                <w:kern w:val="0"/>
                <w:sz w:val="24"/>
                <w:szCs w:val="24"/>
                <w:u w:val="none"/>
                <w:lang w:val="en-US" w:eastAsia="zh-CN" w:bidi="ar"/>
              </w:rPr>
              <w:t>序号</w:t>
            </w:r>
          </w:p>
        </w:tc>
        <w:tc>
          <w:tcPr>
            <w:tcW w:w="392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名称</w:t>
            </w:r>
          </w:p>
        </w:tc>
        <w:tc>
          <w:tcPr>
            <w:tcW w:w="5025"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屏幕尺寸(对角)</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≥23.8"W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颜色</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屏幕宽高比</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面板类型</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IPS技术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亮度(典型值)</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≥350cd/m²[*]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对比度</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响应时间</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可视角度</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≥178°/178°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显示分辨率</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≥2560x1440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刷新率</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显示屏亮度</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≥350cd/m²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接口</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HDMI2.0*1, DP1.4*1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16"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w:t>
            </w:r>
          </w:p>
        </w:tc>
        <w:tc>
          <w:tcPr>
            <w:tcW w:w="3920"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认证</w:t>
            </w:r>
          </w:p>
        </w:tc>
        <w:tc>
          <w:tcPr>
            <w:tcW w:w="5025"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需提供产品的3C、节能认证</w:t>
            </w:r>
          </w:p>
        </w:tc>
      </w:tr>
    </w:tbl>
    <w:p>
      <w:pPr>
        <w:spacing w:before="120" w:beforeLines="50" w:after="120" w:afterLines="50" w:line="360" w:lineRule="auto"/>
        <w:jc w:val="left"/>
        <w:rPr>
          <w:rFonts w:hint="eastAsia"/>
          <w:b/>
          <w:bCs/>
          <w:color w:val="FF0000"/>
          <w:u w:val="single"/>
          <w:lang w:val="en-US" w:eastAsia="zh-CN"/>
        </w:rPr>
      </w:pPr>
    </w:p>
    <w:p>
      <w:pPr>
        <w:spacing w:before="120" w:beforeLines="50" w:after="120" w:afterLines="50" w:line="360" w:lineRule="auto"/>
        <w:jc w:val="left"/>
        <w:rPr>
          <w:rFonts w:hint="eastAsia" w:ascii="宋体" w:hAnsi="宋体" w:eastAsia="宋体" w:cs="宋体"/>
          <w:b/>
          <w:bCs/>
          <w:color w:val="auto"/>
          <w:sz w:val="21"/>
          <w:szCs w:val="21"/>
          <w:u w:val="single"/>
          <w:lang w:val="en-US" w:eastAsia="zh-CN"/>
        </w:rPr>
      </w:pPr>
      <w:r>
        <w:rPr>
          <w:rFonts w:hint="eastAsia"/>
          <w:b/>
          <w:bCs/>
          <w:color w:val="FF0000"/>
          <w:u w:val="single"/>
          <w:lang w:val="en-US" w:eastAsia="zh-CN"/>
        </w:rPr>
        <w:t>注</w:t>
      </w:r>
      <w:r>
        <w:rPr>
          <w:rFonts w:hint="eastAsia"/>
          <w:b/>
          <w:bCs/>
          <w:color w:val="auto"/>
          <w:u w:val="single"/>
          <w:lang w:val="en-US" w:eastAsia="zh-CN"/>
        </w:rPr>
        <w:t>：</w:t>
      </w:r>
      <w:bookmarkEnd w:id="3"/>
      <w:r>
        <w:rPr>
          <w:rFonts w:hint="eastAsia"/>
          <w:b/>
          <w:bCs/>
          <w:color w:val="auto"/>
          <w:u w:val="single"/>
          <w:lang w:val="en-US" w:eastAsia="zh-CN"/>
        </w:rPr>
        <w:t>1、</w:t>
      </w:r>
      <w:r>
        <w:rPr>
          <w:rFonts w:hint="eastAsia" w:ascii="宋体" w:hAnsi="宋体" w:eastAsia="宋体" w:cs="宋体"/>
          <w:b/>
          <w:bCs/>
          <w:color w:val="auto"/>
          <w:sz w:val="21"/>
          <w:szCs w:val="21"/>
          <w:u w:val="single"/>
          <w:lang w:val="en-US" w:eastAsia="zh-CN"/>
        </w:rPr>
        <w:t>投标人超过预算金额的投标报价将作无效标处理。</w:t>
      </w:r>
    </w:p>
    <w:p>
      <w:pPr>
        <w:spacing w:before="120" w:beforeLines="50" w:after="120" w:afterLines="50" w:line="360" w:lineRule="auto"/>
        <w:ind w:firstLine="422" w:firstLineChars="200"/>
        <w:jc w:val="left"/>
        <w:rPr>
          <w:rFonts w:hint="default" w:ascii="宋体" w:hAnsi="宋体" w:eastAsia="宋体" w:cs="宋体"/>
          <w:b/>
          <w:bCs/>
          <w:color w:val="auto"/>
          <w:sz w:val="21"/>
          <w:szCs w:val="21"/>
          <w:u w:val="single"/>
          <w:lang w:val="en-US" w:eastAsia="zh-CN"/>
        </w:rPr>
      </w:pPr>
      <w:r>
        <w:rPr>
          <w:rFonts w:hint="eastAsia" w:ascii="宋体" w:hAnsi="宋体" w:eastAsia="宋体" w:cs="宋体"/>
          <w:b/>
          <w:bCs/>
          <w:color w:val="auto"/>
          <w:kern w:val="0"/>
          <w:sz w:val="21"/>
          <w:szCs w:val="21"/>
          <w:u w:val="single"/>
          <w:lang w:val="en-US" w:eastAsia="zh-CN" w:bidi="ar-SA"/>
        </w:rPr>
        <w:t>▲2、</w:t>
      </w:r>
      <w:r>
        <w:rPr>
          <w:rFonts w:hint="eastAsia" w:ascii="宋体" w:hAnsi="宋体" w:eastAsia="宋体" w:cs="宋体"/>
          <w:i w:val="0"/>
          <w:iCs w:val="0"/>
          <w:color w:val="auto"/>
          <w:kern w:val="0"/>
          <w:sz w:val="21"/>
          <w:szCs w:val="21"/>
          <w:u w:val="none"/>
          <w:lang w:val="en-US" w:eastAsia="zh-CN" w:bidi="ar"/>
        </w:rPr>
        <w:t>需提供制造授权，同一品牌如果有多家报价，只选取报价最低的投标人与其他品牌产品进行遴选。</w:t>
      </w:r>
    </w:p>
    <w:p>
      <w:pPr>
        <w:numPr>
          <w:ilvl w:val="0"/>
          <w:numId w:val="0"/>
        </w:numPr>
        <w:spacing w:before="120" w:beforeLines="50" w:after="120" w:afterLines="50" w:line="360" w:lineRule="auto"/>
        <w:ind w:firstLine="422" w:firstLineChars="200"/>
        <w:jc w:val="left"/>
        <w:rPr>
          <w:rFonts w:hint="eastAsia" w:ascii="宋体" w:hAnsi="宋体" w:eastAsia="宋体" w:cs="宋体"/>
          <w:b/>
          <w:bCs/>
          <w:color w:val="auto"/>
          <w:kern w:val="0"/>
          <w:sz w:val="21"/>
          <w:szCs w:val="21"/>
          <w:u w:val="single"/>
        </w:rPr>
      </w:pPr>
      <w:r>
        <w:rPr>
          <w:rFonts w:hint="eastAsia" w:ascii="宋体" w:hAnsi="宋体" w:eastAsia="宋体" w:cs="宋体"/>
          <w:b/>
          <w:bCs/>
          <w:color w:val="auto"/>
          <w:kern w:val="0"/>
          <w:sz w:val="21"/>
          <w:szCs w:val="21"/>
          <w:u w:val="single"/>
          <w:lang w:val="en-US" w:eastAsia="zh-CN" w:bidi="ar-SA"/>
        </w:rPr>
        <w:t>▲3、</w:t>
      </w:r>
      <w:r>
        <w:rPr>
          <w:rFonts w:hint="eastAsia" w:ascii="宋体" w:hAnsi="宋体" w:eastAsia="宋体" w:cs="宋体"/>
          <w:b/>
          <w:bCs/>
          <w:color w:val="auto"/>
          <w:kern w:val="0"/>
          <w:sz w:val="21"/>
          <w:szCs w:val="21"/>
          <w:u w:val="single"/>
        </w:rPr>
        <w:t>本次采购采用</w:t>
      </w:r>
      <w:bookmarkStart w:id="4" w:name="_GoBack"/>
      <w:bookmarkEnd w:id="4"/>
      <w:r>
        <w:rPr>
          <w:rFonts w:hint="eastAsia" w:ascii="宋体" w:hAnsi="宋体" w:eastAsia="宋体" w:cs="宋体"/>
          <w:b/>
          <w:bCs/>
          <w:color w:val="auto"/>
          <w:kern w:val="0"/>
          <w:sz w:val="21"/>
          <w:szCs w:val="21"/>
          <w:u w:val="single"/>
        </w:rPr>
        <w:t>电子交易方式，电子交易平台为“</w:t>
      </w:r>
      <w:r>
        <w:rPr>
          <w:rFonts w:hint="eastAsia" w:ascii="宋体" w:hAnsi="宋体" w:eastAsia="宋体" w:cs="宋体"/>
          <w:b/>
          <w:bCs/>
          <w:color w:val="auto"/>
          <w:kern w:val="0"/>
          <w:sz w:val="21"/>
          <w:szCs w:val="21"/>
          <w:u w:val="single"/>
          <w:lang w:val="en-US" w:eastAsia="zh-CN"/>
        </w:rPr>
        <w:t>政</w:t>
      </w:r>
      <w:r>
        <w:rPr>
          <w:rFonts w:hint="eastAsia" w:ascii="宋体" w:hAnsi="宋体" w:eastAsia="宋体" w:cs="宋体"/>
          <w:b/>
          <w:bCs/>
          <w:color w:val="auto"/>
          <w:kern w:val="0"/>
          <w:sz w:val="21"/>
          <w:szCs w:val="21"/>
          <w:u w:val="single"/>
        </w:rPr>
        <w:t>采云平台（https://www.zcygov.cn/）”。</w:t>
      </w:r>
    </w:p>
    <w:p>
      <w:pPr>
        <w:spacing w:before="120" w:beforeLines="50" w:after="120" w:afterLines="50" w:line="360" w:lineRule="auto"/>
        <w:ind w:firstLine="420" w:firstLineChars="200"/>
        <w:jc w:val="left"/>
        <w:rPr>
          <w:rFonts w:hint="eastAsia" w:ascii="宋体" w:hAnsi="宋体" w:eastAsia="宋体" w:cs="宋体"/>
          <w:color w:val="auto"/>
          <w:sz w:val="21"/>
          <w:szCs w:val="21"/>
        </w:rPr>
        <w:sectPr>
          <w:footerReference r:id="rId3" w:type="default"/>
          <w:pgSz w:w="11907" w:h="16840"/>
          <w:pgMar w:top="1304" w:right="1531" w:bottom="1247" w:left="1531" w:header="851" w:footer="992" w:gutter="0"/>
          <w:pgNumType w:fmt="numberInDash" w:start="1"/>
          <w:cols w:space="720" w:num="1"/>
          <w:docGrid w:linePitch="312" w:charSpace="0"/>
        </w:sectPr>
      </w:pPr>
    </w:p>
    <w:p>
      <w:pPr>
        <w:spacing w:line="360" w:lineRule="auto"/>
        <w:rPr>
          <w:rFonts w:hint="eastAsia" w:ascii="宋体" w:hAnsi="宋体"/>
          <w:b/>
          <w:bCs/>
          <w:color w:val="auto"/>
          <w:sz w:val="28"/>
          <w:szCs w:val="28"/>
        </w:rPr>
      </w:pPr>
      <w:r>
        <w:rPr>
          <w:rFonts w:hint="eastAsia" w:ascii="宋体" w:hAnsi="宋体"/>
          <w:b/>
          <w:bCs/>
          <w:color w:val="auto"/>
          <w:sz w:val="28"/>
          <w:szCs w:val="28"/>
          <w:lang w:val="en-US" w:eastAsia="zh-CN"/>
        </w:rPr>
        <w:t>三</w:t>
      </w:r>
      <w:r>
        <w:rPr>
          <w:rFonts w:hint="eastAsia" w:ascii="宋体" w:hAnsi="宋体"/>
          <w:b/>
          <w:bCs/>
          <w:color w:val="auto"/>
          <w:sz w:val="28"/>
          <w:szCs w:val="28"/>
        </w:rPr>
        <w:t>、主要商务要求</w:t>
      </w:r>
    </w:p>
    <w:p>
      <w:pPr>
        <w:pStyle w:val="8"/>
        <w:numPr>
          <w:ilvl w:val="0"/>
          <w:numId w:val="0"/>
        </w:numPr>
        <w:spacing w:line="360" w:lineRule="auto"/>
        <w:ind w:firstLine="482" w:firstLineChars="200"/>
        <w:rPr>
          <w:rFonts w:hint="default" w:ascii="宋体" w:hAnsi="宋体" w:eastAsia="宋体" w:cs="宋体"/>
          <w:color w:val="auto"/>
          <w:sz w:val="24"/>
          <w:lang w:val="en-US" w:eastAsia="zh-CN"/>
        </w:rPr>
      </w:pPr>
      <w:r>
        <w:rPr>
          <w:rFonts w:hint="eastAsia" w:ascii="宋体" w:hAnsi="宋体"/>
          <w:b/>
          <w:bCs/>
          <w:color w:val="auto"/>
          <w:sz w:val="24"/>
          <w:szCs w:val="24"/>
          <w:lang w:val="en-US" w:eastAsia="zh-CN"/>
        </w:rPr>
        <w:t>1</w:t>
      </w:r>
      <w:r>
        <w:rPr>
          <w:rFonts w:hint="eastAsia" w:ascii="宋体" w:hAnsi="宋体"/>
          <w:b/>
          <w:bCs/>
          <w:color w:val="auto"/>
          <w:sz w:val="24"/>
          <w:szCs w:val="24"/>
        </w:rPr>
        <w:t>、付款方式：</w:t>
      </w:r>
      <w:r>
        <w:rPr>
          <w:rFonts w:hint="default" w:ascii="宋体" w:hAnsi="宋体" w:eastAsia="宋体" w:cs="宋体"/>
          <w:color w:val="auto"/>
          <w:sz w:val="24"/>
          <w:lang w:val="en-US" w:eastAsia="zh-CN"/>
        </w:rPr>
        <w:t>全部货物交付完毕并经最终验收合格后，</w:t>
      </w:r>
      <w:r>
        <w:rPr>
          <w:rFonts w:hint="eastAsia" w:ascii="宋体" w:hAnsi="宋体" w:eastAsia="宋体" w:cs="宋体"/>
          <w:color w:val="auto"/>
          <w:sz w:val="24"/>
          <w:lang w:val="en-US" w:eastAsia="zh-CN"/>
        </w:rPr>
        <w:t>由</w:t>
      </w:r>
      <w:r>
        <w:rPr>
          <w:rFonts w:hint="default" w:ascii="宋体" w:hAnsi="宋体" w:eastAsia="宋体" w:cs="宋体"/>
          <w:color w:val="auto"/>
          <w:sz w:val="24"/>
          <w:lang w:val="en-US" w:eastAsia="zh-CN"/>
        </w:rPr>
        <w:t>乙方</w:t>
      </w:r>
      <w:r>
        <w:rPr>
          <w:rFonts w:hint="eastAsia" w:ascii="宋体" w:hAnsi="宋体" w:eastAsia="宋体" w:cs="宋体"/>
          <w:color w:val="auto"/>
          <w:sz w:val="24"/>
          <w:lang w:val="en-US" w:eastAsia="zh-CN"/>
        </w:rPr>
        <w:t>联系</w:t>
      </w:r>
      <w:r>
        <w:rPr>
          <w:rFonts w:hint="default" w:ascii="宋体" w:hAnsi="宋体" w:eastAsia="宋体" w:cs="宋体"/>
          <w:color w:val="auto"/>
          <w:sz w:val="24"/>
          <w:lang w:val="en-US" w:eastAsia="zh-CN"/>
        </w:rPr>
        <w:t>甲方</w:t>
      </w:r>
      <w:r>
        <w:rPr>
          <w:rFonts w:hint="eastAsia" w:ascii="宋体" w:hAnsi="宋体" w:eastAsia="宋体" w:cs="宋体"/>
          <w:color w:val="auto"/>
          <w:sz w:val="24"/>
          <w:lang w:val="en-US" w:eastAsia="zh-CN"/>
        </w:rPr>
        <w:t>采购中心开票入库（</w:t>
      </w:r>
      <w:r>
        <w:rPr>
          <w:rFonts w:hint="default" w:ascii="宋体" w:hAnsi="宋体" w:eastAsia="宋体" w:cs="宋体"/>
          <w:color w:val="auto"/>
          <w:sz w:val="24"/>
          <w:lang w:val="en-US" w:eastAsia="zh-CN"/>
        </w:rPr>
        <w:t>开具</w:t>
      </w:r>
      <w:r>
        <w:rPr>
          <w:rFonts w:hint="eastAsia" w:ascii="宋体" w:hAnsi="宋体" w:eastAsia="宋体" w:cs="宋体"/>
          <w:color w:val="auto"/>
          <w:sz w:val="24"/>
          <w:lang w:val="en-US" w:eastAsia="zh-CN"/>
        </w:rPr>
        <w:t>与</w:t>
      </w:r>
      <w:r>
        <w:rPr>
          <w:rFonts w:hint="default" w:ascii="宋体" w:hAnsi="宋体" w:eastAsia="宋体" w:cs="宋体"/>
          <w:color w:val="auto"/>
          <w:sz w:val="24"/>
          <w:lang w:val="en-US" w:eastAsia="zh-CN"/>
        </w:rPr>
        <w:t>合同同等金额</w:t>
      </w:r>
      <w:r>
        <w:rPr>
          <w:rFonts w:hint="eastAsia" w:ascii="宋体" w:hAnsi="宋体" w:eastAsia="宋体" w:cs="宋体"/>
          <w:color w:val="auto"/>
          <w:sz w:val="24"/>
          <w:lang w:val="en-US" w:eastAsia="zh-CN"/>
        </w:rPr>
        <w:t>的</w:t>
      </w:r>
      <w:r>
        <w:rPr>
          <w:rFonts w:hint="default" w:ascii="宋体" w:hAnsi="宋体" w:eastAsia="宋体" w:cs="宋体"/>
          <w:color w:val="auto"/>
          <w:sz w:val="24"/>
          <w:lang w:val="en-US" w:eastAsia="zh-CN"/>
        </w:rPr>
        <w:t>发票</w:t>
      </w:r>
      <w:r>
        <w:rPr>
          <w:rFonts w:hint="eastAsia" w:ascii="宋体" w:hAnsi="宋体" w:eastAsia="宋体" w:cs="宋体"/>
          <w:color w:val="auto"/>
          <w:sz w:val="24"/>
          <w:lang w:val="en-US" w:eastAsia="zh-CN"/>
        </w:rPr>
        <w:t>）</w:t>
      </w:r>
      <w:r>
        <w:rPr>
          <w:rFonts w:hint="default" w:ascii="宋体" w:hAnsi="宋体" w:eastAsia="宋体" w:cs="宋体"/>
          <w:color w:val="auto"/>
          <w:sz w:val="24"/>
          <w:lang w:val="en-US" w:eastAsia="zh-CN"/>
        </w:rPr>
        <w:t>，甲方在收到发票后</w:t>
      </w:r>
      <w:r>
        <w:rPr>
          <w:rFonts w:hint="eastAsia" w:hAnsi="宋体" w:cs="宋体"/>
          <w:color w:val="auto"/>
          <w:sz w:val="24"/>
          <w:lang w:val="en-US" w:eastAsia="zh-CN"/>
        </w:rPr>
        <w:t>3</w:t>
      </w:r>
      <w:r>
        <w:rPr>
          <w:rFonts w:hint="eastAsia" w:ascii="宋体" w:hAnsi="宋体" w:eastAsia="宋体" w:cs="宋体"/>
          <w:color w:val="auto"/>
          <w:sz w:val="24"/>
          <w:lang w:val="en-US" w:eastAsia="zh-CN"/>
        </w:rPr>
        <w:t>个</w:t>
      </w:r>
      <w:r>
        <w:rPr>
          <w:rFonts w:hint="eastAsia" w:hAnsi="宋体" w:cs="宋体"/>
          <w:color w:val="auto"/>
          <w:sz w:val="24"/>
          <w:lang w:val="en-US" w:eastAsia="zh-CN"/>
        </w:rPr>
        <w:t>月</w:t>
      </w:r>
      <w:r>
        <w:rPr>
          <w:rFonts w:hint="default" w:ascii="宋体" w:hAnsi="宋体" w:eastAsia="宋体" w:cs="宋体"/>
          <w:color w:val="auto"/>
          <w:sz w:val="24"/>
          <w:lang w:val="en-US" w:eastAsia="zh-CN"/>
        </w:rPr>
        <w:t>内向乙方支付全部合同价款。</w:t>
      </w:r>
    </w:p>
    <w:p>
      <w:pPr>
        <w:pStyle w:val="8"/>
        <w:numPr>
          <w:ilvl w:val="0"/>
          <w:numId w:val="0"/>
        </w:numPr>
        <w:spacing w:line="360" w:lineRule="auto"/>
        <w:ind w:firstLine="482" w:firstLineChars="200"/>
        <w:rPr>
          <w:rFonts w:hint="eastAsia" w:ascii="宋体" w:hAnsi="宋体"/>
          <w:b w:val="0"/>
          <w:bCs w:val="0"/>
          <w:color w:val="000000"/>
          <w:sz w:val="24"/>
          <w:szCs w:val="24"/>
        </w:rPr>
      </w:pPr>
      <w:r>
        <w:rPr>
          <w:rFonts w:hint="eastAsia" w:ascii="宋体" w:hAnsi="宋体"/>
          <w:b/>
          <w:bCs/>
          <w:color w:val="auto"/>
          <w:sz w:val="24"/>
          <w:szCs w:val="24"/>
          <w:lang w:val="en-US" w:eastAsia="zh-CN"/>
        </w:rPr>
        <w:t>2</w:t>
      </w:r>
      <w:r>
        <w:rPr>
          <w:rFonts w:hint="eastAsia" w:ascii="宋体" w:hAnsi="宋体"/>
          <w:b/>
          <w:bCs/>
          <w:color w:val="auto"/>
          <w:sz w:val="24"/>
          <w:szCs w:val="24"/>
        </w:rPr>
        <w:t>、</w:t>
      </w:r>
      <w:r>
        <w:rPr>
          <w:rFonts w:hint="eastAsia" w:ascii="宋体" w:hAnsi="宋体" w:eastAsia="宋体" w:cs="宋体"/>
          <w:b/>
          <w:bCs/>
          <w:color w:val="auto"/>
          <w:sz w:val="24"/>
          <w:szCs w:val="24"/>
          <w:lang w:val="en-US" w:eastAsia="zh-CN"/>
        </w:rPr>
        <w:t>交货期：接到采购人发货通知后</w:t>
      </w:r>
      <w:r>
        <w:rPr>
          <w:rFonts w:hint="eastAsia" w:ascii="宋体" w:hAnsi="宋体" w:eastAsia="宋体" w:cs="宋体"/>
          <w:b/>
          <w:bCs/>
          <w:color w:val="auto"/>
          <w:sz w:val="24"/>
          <w:szCs w:val="24"/>
          <w:u w:val="single"/>
          <w:lang w:val="en-US" w:eastAsia="zh-CN"/>
        </w:rPr>
        <w:t>5个工作日</w:t>
      </w:r>
      <w:r>
        <w:rPr>
          <w:rFonts w:hint="eastAsia" w:ascii="宋体" w:hAnsi="宋体" w:eastAsia="宋体" w:cs="宋体"/>
          <w:b/>
          <w:bCs/>
          <w:color w:val="auto"/>
          <w:sz w:val="24"/>
          <w:szCs w:val="24"/>
          <w:lang w:val="en-US" w:eastAsia="zh-CN"/>
        </w:rPr>
        <w:t>内到达指定地点。</w:t>
      </w:r>
      <w:r>
        <w:rPr>
          <w:rFonts w:hint="eastAsia" w:ascii="宋体" w:hAnsi="宋体"/>
          <w:b w:val="0"/>
          <w:bCs w:val="0"/>
          <w:color w:val="auto"/>
          <w:sz w:val="24"/>
          <w:szCs w:val="24"/>
        </w:rPr>
        <w:t xml:space="preserve">    </w:t>
      </w:r>
      <w:r>
        <w:rPr>
          <w:rFonts w:hint="eastAsia" w:ascii="宋体" w:hAnsi="宋体"/>
          <w:b w:val="0"/>
          <w:bCs w:val="0"/>
          <w:color w:val="000000"/>
          <w:sz w:val="24"/>
          <w:szCs w:val="24"/>
        </w:rPr>
        <w:t xml:space="preserve">    </w:t>
      </w:r>
    </w:p>
    <w:p>
      <w:pPr>
        <w:spacing w:line="360" w:lineRule="auto"/>
        <w:ind w:firstLine="482" w:firstLineChars="200"/>
        <w:rPr>
          <w:rFonts w:hint="eastAsia" w:ascii="宋体" w:hAnsi="宋体"/>
          <w:b w:val="0"/>
          <w:bCs w:val="0"/>
          <w:color w:val="000000"/>
          <w:sz w:val="24"/>
          <w:szCs w:val="24"/>
        </w:rPr>
      </w:pPr>
      <w:r>
        <w:rPr>
          <w:rFonts w:hint="eastAsia" w:ascii="宋体" w:hAnsi="宋体"/>
          <w:b/>
          <w:bCs/>
          <w:color w:val="000000"/>
          <w:sz w:val="24"/>
          <w:szCs w:val="24"/>
          <w:lang w:val="en-US" w:eastAsia="zh-CN"/>
        </w:rPr>
        <w:t>3</w:t>
      </w:r>
      <w:r>
        <w:rPr>
          <w:rFonts w:hint="eastAsia" w:ascii="宋体" w:hAnsi="宋体"/>
          <w:b/>
          <w:bCs/>
          <w:color w:val="000000"/>
          <w:sz w:val="24"/>
          <w:szCs w:val="24"/>
        </w:rPr>
        <w:t>、到货地点：</w:t>
      </w:r>
      <w:r>
        <w:rPr>
          <w:rFonts w:hint="eastAsia" w:ascii="宋体" w:hAnsi="宋体"/>
          <w:b w:val="0"/>
          <w:bCs w:val="0"/>
          <w:color w:val="000000"/>
          <w:sz w:val="24"/>
          <w:szCs w:val="24"/>
        </w:rPr>
        <w:t>温州市中医院指定地点。</w:t>
      </w:r>
    </w:p>
    <w:p>
      <w:pPr>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lang w:val="en-US" w:eastAsia="zh-CN"/>
        </w:rPr>
        <w:t>4</w:t>
      </w:r>
      <w:r>
        <w:rPr>
          <w:rFonts w:hint="eastAsia" w:ascii="宋体" w:hAnsi="宋体"/>
          <w:b/>
          <w:bCs/>
          <w:color w:val="000000"/>
          <w:sz w:val="24"/>
          <w:szCs w:val="24"/>
        </w:rPr>
        <w:t>、质保期</w:t>
      </w:r>
    </w:p>
    <w:p>
      <w:p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b w:val="0"/>
          <w:bCs w:val="0"/>
          <w:color w:val="000000"/>
          <w:sz w:val="24"/>
          <w:szCs w:val="24"/>
          <w:lang w:val="en-US" w:eastAsia="zh-CN"/>
        </w:rPr>
        <w:t>(1)</w:t>
      </w:r>
      <w:r>
        <w:rPr>
          <w:rFonts w:hint="eastAsia" w:ascii="宋体" w:hAnsi="宋体"/>
          <w:b w:val="0"/>
          <w:bCs w:val="0"/>
          <w:color w:val="000000"/>
          <w:sz w:val="24"/>
          <w:szCs w:val="24"/>
        </w:rPr>
        <w:t>免费质保期</w:t>
      </w:r>
      <w:r>
        <w:rPr>
          <w:rFonts w:hint="eastAsia" w:ascii="宋体" w:hAnsi="宋体"/>
          <w:b w:val="0"/>
          <w:bCs w:val="0"/>
          <w:color w:val="000000"/>
          <w:sz w:val="24"/>
          <w:szCs w:val="24"/>
          <w:lang w:val="en-US" w:eastAsia="zh-CN"/>
        </w:rPr>
        <w:t>≥5</w:t>
      </w:r>
      <w:r>
        <w:rPr>
          <w:rFonts w:hint="eastAsia" w:ascii="宋体" w:hAnsi="宋体"/>
          <w:b w:val="0"/>
          <w:bCs w:val="0"/>
          <w:color w:val="000000"/>
          <w:sz w:val="24"/>
          <w:szCs w:val="24"/>
        </w:rPr>
        <w:t>年，</w:t>
      </w:r>
      <w:r>
        <w:rPr>
          <w:rFonts w:hint="eastAsia"/>
          <w:b/>
          <w:bCs/>
          <w:sz w:val="24"/>
          <w:szCs w:val="24"/>
          <w:u w:val="single"/>
        </w:rPr>
        <w:t>（自交货验收合格之日起计）</w:t>
      </w:r>
      <w:r>
        <w:rPr>
          <w:rFonts w:hint="eastAsia"/>
          <w:b/>
          <w:bCs/>
          <w:sz w:val="24"/>
          <w:szCs w:val="24"/>
          <w:u w:val="single"/>
          <w:lang w:eastAsia="zh-CN"/>
        </w:rPr>
        <w:t>。</w:t>
      </w:r>
      <w:r>
        <w:rPr>
          <w:rFonts w:hint="eastAsia" w:ascii="宋体" w:hAnsi="宋体" w:eastAsia="宋体" w:cs="宋体"/>
          <w:i w:val="0"/>
          <w:iCs w:val="0"/>
          <w:color w:val="000000"/>
          <w:kern w:val="0"/>
          <w:sz w:val="24"/>
          <w:szCs w:val="24"/>
          <w:u w:val="none"/>
          <w:lang w:val="en-US" w:eastAsia="zh-CN" w:bidi="ar"/>
        </w:rPr>
        <w:t>提供生产厂商质保，中标后提供生产厂商质保证明原件。提供二年及以上完全免费的生产厂商售后服务：包括生产厂商400电话支持、所有部件的生产厂商备件、不晚于第二工作日生产厂商售后服务工程师上门，生产厂商VIP客户服务，生产厂商24×7专线服务，所有设备用户名与客户单位名称对应并生产日期晚于招标日期，送货到用户指定地点</w:t>
      </w:r>
    </w:p>
    <w:p>
      <w:p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b w:val="0"/>
          <w:bCs w:val="0"/>
          <w:color w:val="000000"/>
          <w:sz w:val="24"/>
          <w:szCs w:val="24"/>
          <w:lang w:val="en-US" w:eastAsia="zh-CN"/>
        </w:rPr>
        <w:t xml:space="preserve">(2) </w:t>
      </w:r>
      <w:r>
        <w:rPr>
          <w:rFonts w:hint="eastAsia" w:ascii="宋体" w:hAnsi="宋体" w:eastAsia="宋体" w:cs="宋体"/>
          <w:i w:val="0"/>
          <w:iCs w:val="0"/>
          <w:color w:val="000000"/>
          <w:kern w:val="0"/>
          <w:sz w:val="24"/>
          <w:szCs w:val="24"/>
          <w:u w:val="none"/>
          <w:lang w:val="en-US" w:eastAsia="zh-CN" w:bidi="ar"/>
        </w:rPr>
        <w:t>为了保障技术服务的及时性和质量，中标人自营技术服务团队，协调和补充售后服务。</w:t>
      </w:r>
    </w:p>
    <w:p>
      <w:pPr>
        <w:spacing w:line="360" w:lineRule="auto"/>
        <w:ind w:firstLine="480" w:firstLineChars="200"/>
        <w:rPr>
          <w:rFonts w:hint="eastAsia" w:ascii="宋体" w:hAnsi="宋体"/>
          <w:b w:val="0"/>
          <w:bCs w:val="0"/>
          <w:color w:val="000000"/>
          <w:sz w:val="24"/>
          <w:szCs w:val="24"/>
        </w:rPr>
      </w:pPr>
      <w:r>
        <w:rPr>
          <w:rFonts w:hint="eastAsia" w:ascii="宋体" w:hAnsi="宋体"/>
          <w:b w:val="0"/>
          <w:bCs w:val="0"/>
          <w:color w:val="000000"/>
          <w:sz w:val="24"/>
          <w:szCs w:val="24"/>
          <w:lang w:val="en-US" w:eastAsia="zh-CN"/>
        </w:rPr>
        <w:t xml:space="preserve">(3) </w:t>
      </w:r>
      <w:r>
        <w:rPr>
          <w:rFonts w:hint="eastAsia" w:ascii="宋体" w:hAnsi="宋体"/>
          <w:b w:val="0"/>
          <w:bCs w:val="0"/>
          <w:color w:val="000000"/>
          <w:sz w:val="24"/>
          <w:szCs w:val="24"/>
        </w:rPr>
        <w:t>质保期内，由于产品自身原因出现问题，由中标人免费更换，并达到合同约定的质量要求，中标人应该在收到院方更换通知24小时内解决处理。</w:t>
      </w:r>
    </w:p>
    <w:p>
      <w:pPr>
        <w:pStyle w:val="8"/>
        <w:numPr>
          <w:ilvl w:val="0"/>
          <w:numId w:val="0"/>
        </w:numPr>
        <w:spacing w:line="360" w:lineRule="auto"/>
        <w:ind w:leftChars="0" w:firstLine="482" w:firstLineChars="200"/>
        <w:rPr>
          <w:rFonts w:hint="eastAsia" w:ascii="宋体" w:hAnsi="宋体"/>
          <w:b w:val="0"/>
          <w:bCs w:val="0"/>
          <w:color w:val="000000"/>
          <w:sz w:val="24"/>
          <w:szCs w:val="24"/>
        </w:rPr>
      </w:pPr>
      <w:r>
        <w:rPr>
          <w:rFonts w:hint="eastAsia"/>
          <w:b/>
          <w:bCs/>
          <w:sz w:val="24"/>
          <w:szCs w:val="24"/>
          <w:lang w:val="en-US" w:eastAsia="zh-CN"/>
        </w:rPr>
        <w:t>5、质量保证及售后服务</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（1）所供应的商品是最新生产的符合国家技术规格和质量标准的出厂原装合格产品。</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（2）在质保期内因货物本身发生质量问题的，供应商应负责免费更换。对达不到质量要求者，根据实际情况，经双方协商，可按以下办法处理：</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8"/>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8"/>
        <w:numPr>
          <w:ilvl w:val="0"/>
          <w:numId w:val="3"/>
        </w:numPr>
        <w:spacing w:line="360" w:lineRule="auto"/>
        <w:ind w:leftChars="200"/>
        <w:rPr>
          <w:rFonts w:hint="eastAsia"/>
          <w:sz w:val="24"/>
          <w:szCs w:val="24"/>
          <w:lang w:val="en-US" w:eastAsia="zh-CN"/>
        </w:rPr>
      </w:pPr>
      <w:r>
        <w:rPr>
          <w:rFonts w:hint="eastAsia"/>
          <w:sz w:val="24"/>
          <w:szCs w:val="24"/>
          <w:lang w:val="en-US" w:eastAsia="zh-CN"/>
        </w:rPr>
        <w:t>在质保期内，乙方应对货物出现的质量及安全问题负责处理解决并承担一切费用。</w:t>
      </w:r>
    </w:p>
    <w:p>
      <w:pPr>
        <w:pStyle w:val="8"/>
        <w:numPr>
          <w:ilvl w:val="0"/>
          <w:numId w:val="0"/>
        </w:numPr>
        <w:spacing w:line="360" w:lineRule="auto"/>
        <w:rPr>
          <w:rFonts w:hint="eastAsia"/>
          <w:sz w:val="24"/>
          <w:szCs w:val="24"/>
          <w:lang w:val="en-US" w:eastAsia="zh-CN"/>
        </w:rPr>
      </w:pPr>
    </w:p>
    <w:p>
      <w:pPr>
        <w:overflowPunct w:val="0"/>
        <w:spacing w:line="360" w:lineRule="auto"/>
        <w:rPr>
          <w:rFonts w:hint="eastAsia" w:ascii="宋体" w:hAnsi="宋体" w:cs="黑体"/>
          <w:b/>
          <w:bCs/>
          <w:color w:val="auto"/>
          <w:sz w:val="28"/>
          <w:szCs w:val="28"/>
        </w:rPr>
      </w:pPr>
      <w:r>
        <w:rPr>
          <w:rFonts w:hint="eastAsia" w:ascii="宋体" w:hAnsi="宋体" w:cs="黑体"/>
          <w:b/>
          <w:bCs/>
          <w:color w:val="auto"/>
          <w:sz w:val="28"/>
          <w:szCs w:val="28"/>
          <w:lang w:val="en-US" w:eastAsia="zh-CN"/>
        </w:rPr>
        <w:t>四</w:t>
      </w:r>
      <w:r>
        <w:rPr>
          <w:rFonts w:hint="eastAsia" w:ascii="宋体" w:hAnsi="宋体" w:cs="黑体"/>
          <w:b/>
          <w:bCs/>
          <w:color w:val="auto"/>
          <w:sz w:val="28"/>
          <w:szCs w:val="28"/>
        </w:rPr>
        <w:t>、定标方法</w:t>
      </w:r>
    </w:p>
    <w:p>
      <w:pPr>
        <w:pStyle w:val="2"/>
        <w:spacing w:line="360" w:lineRule="auto"/>
        <w:rPr>
          <w:rFonts w:hint="eastAsia"/>
          <w:color w:val="auto"/>
          <w:sz w:val="24"/>
          <w:szCs w:val="24"/>
        </w:rPr>
      </w:pPr>
      <w:r>
        <w:rPr>
          <w:rFonts w:hint="eastAsia"/>
          <w:color w:val="auto"/>
          <w:sz w:val="24"/>
          <w:szCs w:val="24"/>
        </w:rPr>
        <w:t>1、确定中标候选人</w:t>
      </w:r>
    </w:p>
    <w:p>
      <w:pPr>
        <w:pStyle w:val="2"/>
        <w:spacing w:line="360" w:lineRule="auto"/>
        <w:rPr>
          <w:rFonts w:hint="eastAsia"/>
          <w:color w:val="auto"/>
          <w:sz w:val="24"/>
          <w:szCs w:val="24"/>
        </w:rPr>
      </w:pPr>
      <w:r>
        <w:rPr>
          <w:rFonts w:hint="eastAsia"/>
          <w:color w:val="auto"/>
          <w:sz w:val="24"/>
          <w:szCs w:val="24"/>
        </w:rPr>
        <w:t>1.1由评标委员会确定中标候选人。</w:t>
      </w:r>
    </w:p>
    <w:p>
      <w:pPr>
        <w:pStyle w:val="2"/>
        <w:spacing w:line="360" w:lineRule="auto"/>
        <w:rPr>
          <w:rFonts w:hint="eastAsia"/>
          <w:color w:val="auto"/>
          <w:sz w:val="24"/>
          <w:szCs w:val="24"/>
        </w:rPr>
      </w:pPr>
      <w:r>
        <w:rPr>
          <w:rFonts w:hint="eastAsia"/>
          <w:color w:val="auto"/>
          <w:sz w:val="24"/>
          <w:szCs w:val="24"/>
        </w:rPr>
        <w:t>1.2评标委员会依据法律、法规及招标文件有关规定按评审后得分（即技术分与商务分之和）由高到低顺序排序，得分前二名的投标人确定为该项目的第一和第二中标候选人（得分相同报价低的排序第一；得分且报价相同的，技术指标优的排序第一）向采购人推荐。</w:t>
      </w:r>
    </w:p>
    <w:p>
      <w:pPr>
        <w:pStyle w:val="2"/>
        <w:spacing w:line="360" w:lineRule="auto"/>
        <w:rPr>
          <w:rFonts w:hint="eastAsia"/>
          <w:color w:val="auto"/>
          <w:sz w:val="24"/>
          <w:szCs w:val="24"/>
        </w:rPr>
      </w:pPr>
      <w:r>
        <w:rPr>
          <w:rFonts w:hint="eastAsia"/>
          <w:color w:val="auto"/>
          <w:sz w:val="24"/>
          <w:szCs w:val="24"/>
        </w:rPr>
        <w:t>2、确定中标人</w:t>
      </w:r>
    </w:p>
    <w:p>
      <w:pPr>
        <w:pStyle w:val="2"/>
        <w:spacing w:line="360" w:lineRule="auto"/>
        <w:rPr>
          <w:rFonts w:hint="eastAsia"/>
          <w:color w:val="auto"/>
          <w:sz w:val="24"/>
          <w:szCs w:val="24"/>
        </w:rPr>
      </w:pPr>
      <w:r>
        <w:rPr>
          <w:rFonts w:hint="eastAsia"/>
          <w:color w:val="auto"/>
          <w:sz w:val="24"/>
          <w:szCs w:val="24"/>
        </w:rPr>
        <w:t>2.1采购人按照评标报告中推荐的中标候选供应商顺序确定中标人；也可以事先授权评标委员会按照推荐的中标候选供应商顺序直接确定中标人。中标候选人并列的，采取随机抽取的方式确定。</w:t>
      </w:r>
    </w:p>
    <w:p>
      <w:pPr>
        <w:pStyle w:val="2"/>
        <w:spacing w:line="360" w:lineRule="auto"/>
        <w:rPr>
          <w:rFonts w:hint="eastAsia"/>
          <w:color w:val="auto"/>
          <w:sz w:val="24"/>
          <w:szCs w:val="24"/>
        </w:rPr>
      </w:pPr>
      <w:r>
        <w:rPr>
          <w:rFonts w:hint="eastAsia"/>
          <w:color w:val="auto"/>
          <w:sz w:val="24"/>
          <w:szCs w:val="24"/>
        </w:rPr>
        <w:t>2.2如中标人放弃中标、或未能在规定时间内与采购单位签订合同的；或者经质疑，采购人审查后，确因排名第一的候选人在本次采购活动中存在违法违规行为或其他原因使质疑成立的，采购人可以视情况直接确定排名第二的候选人为中标人或重新组织招标。</w:t>
      </w:r>
    </w:p>
    <w:p>
      <w:pPr>
        <w:pStyle w:val="2"/>
        <w:spacing w:line="360" w:lineRule="auto"/>
        <w:rPr>
          <w:rFonts w:hint="eastAsia"/>
          <w:color w:val="auto"/>
        </w:rPr>
      </w:pPr>
      <w:r>
        <w:rPr>
          <w:rFonts w:hint="eastAsia"/>
          <w:color w:val="auto"/>
          <w:sz w:val="24"/>
          <w:szCs w:val="24"/>
        </w:rPr>
        <w:t>3、中标人确定后，采购人将在温州市中医院官网公告中标结果。</w:t>
      </w:r>
    </w:p>
    <w:p>
      <w:pPr>
        <w:pStyle w:val="8"/>
        <w:numPr>
          <w:ilvl w:val="0"/>
          <w:numId w:val="0"/>
        </w:numPr>
        <w:spacing w:line="360" w:lineRule="auto"/>
        <w:ind w:leftChars="400"/>
        <w:rPr>
          <w:rFonts w:hint="eastAsia"/>
          <w:sz w:val="24"/>
          <w:szCs w:val="24"/>
          <w:lang w:val="en-US" w:eastAsia="zh-CN"/>
        </w:rPr>
      </w:pPr>
    </w:p>
    <w:p>
      <w:pPr>
        <w:pStyle w:val="8"/>
        <w:numPr>
          <w:ilvl w:val="0"/>
          <w:numId w:val="0"/>
        </w:numPr>
        <w:spacing w:line="360" w:lineRule="auto"/>
        <w:rPr>
          <w:rFonts w:hint="eastAsia"/>
          <w:sz w:val="24"/>
          <w:szCs w:val="24"/>
          <w:lang w:val="en-US" w:eastAsia="zh-CN"/>
        </w:rPr>
      </w:pPr>
    </w:p>
    <w:p>
      <w:pPr>
        <w:numPr>
          <w:ilvl w:val="0"/>
          <w:numId w:val="4"/>
        </w:numPr>
        <w:spacing w:line="360" w:lineRule="auto"/>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评分细则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1、技术分的评定（</w:t>
      </w:r>
      <w:r>
        <w:rPr>
          <w:rFonts w:hint="eastAsia" w:ascii="宋体" w:hAnsi="宋体" w:cs="宋体"/>
          <w:color w:val="auto"/>
          <w:sz w:val="24"/>
          <w:lang w:val="en-US" w:eastAsia="zh-CN"/>
        </w:rPr>
        <w:t>7</w:t>
      </w:r>
      <w:r>
        <w:rPr>
          <w:rFonts w:hint="eastAsia" w:ascii="宋体" w:hAnsi="宋体" w:cs="宋体"/>
          <w:color w:val="auto"/>
          <w:sz w:val="24"/>
        </w:rPr>
        <w:t>0分)（权值</w:t>
      </w:r>
      <w:r>
        <w:rPr>
          <w:rFonts w:hint="eastAsia" w:ascii="宋体" w:hAnsi="宋体" w:cs="宋体"/>
          <w:color w:val="auto"/>
          <w:sz w:val="24"/>
          <w:lang w:val="en-US" w:eastAsia="zh-CN"/>
        </w:rPr>
        <w:t>7</w:t>
      </w:r>
      <w:r>
        <w:rPr>
          <w:rFonts w:hint="eastAsia" w:ascii="宋体" w:hAnsi="宋体" w:cs="宋体"/>
          <w:color w:val="auto"/>
          <w:sz w:val="24"/>
        </w:rPr>
        <w:t>0%）</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2、商务标（报价）</w:t>
      </w:r>
      <w:r>
        <w:rPr>
          <w:rFonts w:hint="eastAsia" w:ascii="宋体" w:hAnsi="宋体" w:cs="宋体"/>
          <w:color w:val="auto"/>
          <w:sz w:val="24"/>
          <w:lang w:val="en-US" w:eastAsia="zh-CN"/>
        </w:rPr>
        <w:t>3</w:t>
      </w:r>
      <w:r>
        <w:rPr>
          <w:rFonts w:hint="eastAsia" w:ascii="宋体" w:hAnsi="宋体" w:cs="宋体"/>
          <w:color w:val="auto"/>
          <w:sz w:val="24"/>
        </w:rPr>
        <w:t>0分（权值</w:t>
      </w:r>
      <w:r>
        <w:rPr>
          <w:rFonts w:hint="eastAsia" w:ascii="宋体" w:hAnsi="宋体" w:cs="宋体"/>
          <w:color w:val="auto"/>
          <w:sz w:val="24"/>
          <w:lang w:val="en-US" w:eastAsia="zh-CN"/>
        </w:rPr>
        <w:t>3</w:t>
      </w:r>
      <w:r>
        <w:rPr>
          <w:rFonts w:hint="eastAsia" w:ascii="宋体" w:hAnsi="宋体" w:cs="宋体"/>
          <w:color w:val="auto"/>
          <w:sz w:val="24"/>
        </w:rPr>
        <w:t>0%）</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满足招标文件要求且报价最低的报价为评审基准价，其余投标人报价与该基准价对比，计算出商务报价评分值（保留小数2位）：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1）有效投标人的报价等于评审基准价时其报价分为满分</w:t>
      </w:r>
      <w:r>
        <w:rPr>
          <w:rFonts w:hint="eastAsia" w:ascii="宋体" w:hAnsi="宋体" w:cs="宋体"/>
          <w:color w:val="auto"/>
          <w:sz w:val="24"/>
          <w:lang w:val="en-US" w:eastAsia="zh-CN"/>
        </w:rPr>
        <w:t>3</w:t>
      </w:r>
      <w:r>
        <w:rPr>
          <w:rFonts w:hint="eastAsia" w:ascii="宋体" w:hAnsi="宋体" w:cs="宋体"/>
          <w:color w:val="auto"/>
          <w:sz w:val="24"/>
        </w:rPr>
        <w:t>0分；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2）其他投标人的价格分按以下公式计算：</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报价得分=（评分基准价/投标人投标报价）× 价格权值 ×100（保留小数2位）</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3、有效投标人的综合得分为技术分和商务（报价）分的总和。</w:t>
      </w:r>
    </w:p>
    <w:p>
      <w:pPr>
        <w:spacing w:line="360" w:lineRule="auto"/>
        <w:ind w:firstLine="480" w:firstLineChars="200"/>
        <w:rPr>
          <w:color w:val="auto"/>
        </w:rPr>
      </w:pPr>
      <w:r>
        <w:rPr>
          <w:rFonts w:hint="eastAsia" w:ascii="宋体" w:hAnsi="宋体" w:cs="宋体"/>
          <w:color w:val="auto"/>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3"/>
        <w:rPr>
          <w:color w:val="auto"/>
          <w:sz w:val="28"/>
          <w:szCs w:val="28"/>
        </w:rPr>
      </w:pPr>
      <w:r>
        <w:rPr>
          <w:rFonts w:hint="eastAsia"/>
          <w:color w:val="auto"/>
          <w:sz w:val="28"/>
          <w:szCs w:val="28"/>
          <w:lang w:val="en-US" w:eastAsia="zh-CN"/>
        </w:rPr>
        <w:t>六</w:t>
      </w:r>
      <w:r>
        <w:rPr>
          <w:rFonts w:hint="eastAsia"/>
          <w:color w:val="auto"/>
          <w:sz w:val="28"/>
          <w:szCs w:val="28"/>
        </w:rPr>
        <w:t>、附件</w:t>
      </w:r>
    </w:p>
    <w:p>
      <w:pPr>
        <w:pStyle w:val="2"/>
        <w:numPr>
          <w:ilvl w:val="0"/>
          <w:numId w:val="0"/>
        </w:numPr>
        <w:rPr>
          <w:rFonts w:hint="default"/>
          <w:lang w:val="en-US" w:eastAsia="zh-CN"/>
        </w:rPr>
      </w:pPr>
    </w:p>
    <w:p>
      <w:pPr>
        <w:spacing w:line="360" w:lineRule="auto"/>
        <w:ind w:firstLine="466" w:firstLineChars="200"/>
        <w:rPr>
          <w:rStyle w:val="17"/>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w:t>
      </w:r>
      <w:r>
        <w:rPr>
          <w:rFonts w:hint="eastAsia" w:asciiTheme="minorEastAsia" w:hAnsiTheme="minorEastAsia" w:cstheme="minorEastAsia"/>
          <w:b/>
          <w:bCs/>
          <w:spacing w:val="-4"/>
          <w:sz w:val="24"/>
          <w:szCs w:val="24"/>
          <w:lang w:val="en-US" w:eastAsia="zh-CN"/>
        </w:rPr>
        <w:t>7</w:t>
      </w:r>
      <w:r>
        <w:rPr>
          <w:rFonts w:hint="eastAsia" w:asciiTheme="minorEastAsia" w:hAnsiTheme="minorEastAsia" w:eastAsiaTheme="minorEastAsia" w:cstheme="minorEastAsia"/>
          <w:b/>
          <w:bCs/>
          <w:spacing w:val="-4"/>
          <w:sz w:val="24"/>
          <w:szCs w:val="24"/>
          <w:lang w:val="en-US" w:eastAsia="zh-CN"/>
        </w:rPr>
        <w:t>0</w:t>
      </w:r>
      <w:r>
        <w:rPr>
          <w:rFonts w:hint="eastAsia" w:asciiTheme="minorEastAsia" w:hAnsiTheme="minorEastAsia" w:eastAsiaTheme="minorEastAsia" w:cstheme="minorEastAsia"/>
          <w:b/>
          <w:bCs/>
          <w:spacing w:val="-4"/>
          <w:sz w:val="24"/>
          <w:szCs w:val="24"/>
        </w:rPr>
        <w:t>分）</w:t>
      </w:r>
    </w:p>
    <w:tbl>
      <w:tblPr>
        <w:tblStyle w:val="14"/>
        <w:tblW w:w="106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55"/>
        <w:gridCol w:w="2555"/>
        <w:gridCol w:w="1573"/>
        <w:gridCol w:w="55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95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55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评定项目</w:t>
            </w:r>
          </w:p>
        </w:tc>
        <w:tc>
          <w:tcPr>
            <w:tcW w:w="1573"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5592" w:type="dxa"/>
            <w:noWrap w:val="0"/>
            <w:vAlign w:val="center"/>
          </w:tcPr>
          <w:p>
            <w:pPr>
              <w:ind w:left="105" w:leftChars="50" w:right="10" w:rightChars="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41" w:hRule="atLeast"/>
          <w:jc w:val="center"/>
        </w:trPr>
        <w:tc>
          <w:tcPr>
            <w:tcW w:w="955"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1</w:t>
            </w:r>
          </w:p>
        </w:tc>
        <w:tc>
          <w:tcPr>
            <w:tcW w:w="2555" w:type="dxa"/>
            <w:noWrap w:val="0"/>
            <w:vAlign w:val="center"/>
          </w:tcPr>
          <w:p>
            <w:pPr>
              <w:rPr>
                <w:rFonts w:hint="eastAsia" w:ascii="宋体" w:hAnsi="宋体" w:eastAsia="宋体" w:cs="宋体"/>
                <w:sz w:val="22"/>
                <w:szCs w:val="22"/>
                <w:lang w:eastAsia="zh-CN"/>
              </w:rPr>
            </w:pPr>
            <w:r>
              <w:rPr>
                <w:rFonts w:hint="eastAsia" w:ascii="宋体" w:hAnsi="宋体" w:eastAsia="宋体" w:cs="宋体"/>
                <w:sz w:val="22"/>
                <w:szCs w:val="22"/>
                <w:lang w:val="en-US" w:eastAsia="zh-CN"/>
              </w:rPr>
              <w:t>技术参数</w:t>
            </w:r>
          </w:p>
        </w:tc>
        <w:tc>
          <w:tcPr>
            <w:tcW w:w="1573" w:type="dxa"/>
            <w:noWrap w:val="0"/>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26</w:t>
            </w:r>
          </w:p>
        </w:tc>
        <w:tc>
          <w:tcPr>
            <w:tcW w:w="5592" w:type="dxa"/>
            <w:noWrap w:val="0"/>
            <w:vAlign w:val="center"/>
          </w:tcPr>
          <w:p>
            <w:pPr>
              <w:ind w:left="105" w:leftChars="50" w:right="10" w:rightChars="5"/>
              <w:rPr>
                <w:rFonts w:hint="eastAsia" w:ascii="宋体" w:hAnsi="宋体" w:eastAsia="宋体" w:cs="宋体"/>
                <w:sz w:val="22"/>
                <w:szCs w:val="22"/>
              </w:rPr>
            </w:pPr>
            <w:r>
              <w:rPr>
                <w:rFonts w:hint="eastAsia" w:ascii="宋体" w:hAnsi="宋体" w:eastAsia="宋体" w:cs="宋体"/>
                <w:bCs/>
                <w:sz w:val="22"/>
                <w:szCs w:val="22"/>
              </w:rPr>
              <w:t>对应于采购要求</w:t>
            </w:r>
            <w:r>
              <w:rPr>
                <w:rFonts w:hint="eastAsia" w:ascii="宋体" w:hAnsi="宋体" w:eastAsia="宋体" w:cs="宋体"/>
                <w:bCs/>
                <w:sz w:val="22"/>
                <w:szCs w:val="22"/>
                <w:lang w:val="en-US" w:eastAsia="zh-CN"/>
              </w:rPr>
              <w:t>中的“技术参数要求”</w:t>
            </w:r>
            <w:r>
              <w:rPr>
                <w:rFonts w:hint="eastAsia" w:ascii="宋体" w:hAnsi="宋体" w:eastAsia="宋体" w:cs="宋体"/>
                <w:bCs/>
                <w:sz w:val="22"/>
                <w:szCs w:val="22"/>
              </w:rPr>
              <w:t>的符合度，</w:t>
            </w:r>
            <w:r>
              <w:rPr>
                <w:rFonts w:hint="eastAsia"/>
                <w:bCs/>
                <w:spacing w:val="-4"/>
                <w:sz w:val="22"/>
                <w:szCs w:val="22"/>
                <w:lang w:val="zh-CN"/>
              </w:rPr>
              <w:t>每一项</w:t>
            </w:r>
            <w:r>
              <w:rPr>
                <w:bCs/>
                <w:spacing w:val="-4"/>
                <w:sz w:val="22"/>
                <w:szCs w:val="22"/>
                <w:lang w:val="zh-CN" w:eastAsia="zh-CN"/>
              </w:rPr>
              <w:t>不满足</w:t>
            </w:r>
            <w:r>
              <w:rPr>
                <w:rFonts w:hint="eastAsia"/>
                <w:bCs/>
                <w:spacing w:val="-4"/>
                <w:sz w:val="22"/>
                <w:szCs w:val="22"/>
                <w:lang w:val="zh-CN"/>
              </w:rPr>
              <w:t>、未根据要求提供相关证明材料或提供证明材料与要求不符的扣</w:t>
            </w:r>
            <w:r>
              <w:rPr>
                <w:bCs/>
                <w:spacing w:val="-4"/>
                <w:sz w:val="22"/>
                <w:szCs w:val="22"/>
                <w:lang w:val="zh-CN" w:eastAsia="zh-CN"/>
              </w:rPr>
              <w:t>2</w:t>
            </w:r>
            <w:r>
              <w:rPr>
                <w:rFonts w:hint="eastAsia"/>
                <w:bCs/>
                <w:spacing w:val="-4"/>
                <w:sz w:val="22"/>
                <w:szCs w:val="22"/>
                <w:lang w:val="zh-CN" w:eastAsia="zh-CN"/>
              </w:rPr>
              <w:t>分</w:t>
            </w:r>
            <w:r>
              <w:rPr>
                <w:bCs/>
                <w:spacing w:val="-4"/>
                <w:sz w:val="22"/>
                <w:szCs w:val="22"/>
                <w:lang w:val="zh-CN" w:eastAsia="zh-CN"/>
              </w:rPr>
              <w:t>，扣完为止。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40" w:hRule="atLeast"/>
          <w:jc w:val="center"/>
        </w:trPr>
        <w:tc>
          <w:tcPr>
            <w:tcW w:w="955" w:type="dxa"/>
            <w:noWrap w:val="0"/>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2555" w:type="dxa"/>
            <w:noWrap w:val="0"/>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实施方案</w:t>
            </w:r>
          </w:p>
        </w:tc>
        <w:tc>
          <w:tcPr>
            <w:tcW w:w="1573" w:type="dxa"/>
            <w:noWrap w:val="0"/>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5592" w:type="dxa"/>
            <w:noWrap w:val="0"/>
            <w:vAlign w:val="center"/>
          </w:tcPr>
          <w:p>
            <w:pPr>
              <w:ind w:left="105" w:leftChars="50" w:right="10" w:rightChars="5"/>
              <w:rPr>
                <w:rFonts w:hint="default" w:ascii="宋体" w:hAnsi="宋体" w:cs="宋体" w:eastAsiaTheme="minorEastAsia"/>
                <w:sz w:val="22"/>
                <w:szCs w:val="22"/>
                <w:lang w:val="en-US" w:eastAsia="zh-CN"/>
              </w:rPr>
            </w:pPr>
            <w:r>
              <w:rPr>
                <w:rFonts w:hint="eastAsia"/>
                <w:bCs/>
                <w:sz w:val="22"/>
                <w:szCs w:val="22"/>
              </w:rPr>
              <w:t>根据投标人提供的项目实施方案进行评价。根据本项目的建设目标与建设内容，提出实施方案，包括实施组织、人员情况、进度安排、项目管理、运行维护计划以及风险预案等，能够充分考虑项目不同阶段的需求和特点，整体实施策略科学、合理、可行并具有弹性</w:t>
            </w:r>
            <w:r>
              <w:rPr>
                <w:rFonts w:hint="eastAsia"/>
                <w:bCs/>
                <w:sz w:val="22"/>
                <w:szCs w:val="22"/>
                <w:lang w:eastAsia="zh-CN"/>
              </w:rPr>
              <w:t>（</w:t>
            </w:r>
            <w:r>
              <w:rPr>
                <w:rFonts w:hint="eastAsia"/>
                <w:bCs/>
                <w:sz w:val="22"/>
                <w:szCs w:val="22"/>
                <w:lang w:val="en-US" w:eastAsia="zh-CN"/>
              </w:rPr>
              <w:t>0-10分）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14" w:hRule="atLeast"/>
          <w:jc w:val="center"/>
        </w:trPr>
        <w:tc>
          <w:tcPr>
            <w:tcW w:w="955" w:type="dxa"/>
            <w:noWrap w:val="0"/>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p>
        </w:tc>
        <w:tc>
          <w:tcPr>
            <w:tcW w:w="2555"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保修服务</w:t>
            </w:r>
          </w:p>
        </w:tc>
        <w:tc>
          <w:tcPr>
            <w:tcW w:w="1573" w:type="dxa"/>
            <w:noWrap w:val="0"/>
            <w:vAlign w:val="center"/>
          </w:tcPr>
          <w:p>
            <w:pPr>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p>
        </w:tc>
        <w:tc>
          <w:tcPr>
            <w:tcW w:w="5592" w:type="dxa"/>
            <w:noWrap w:val="0"/>
            <w:vAlign w:val="center"/>
          </w:tcPr>
          <w:p>
            <w:pPr>
              <w:ind w:left="105" w:leftChars="50" w:right="10" w:rightChars="5"/>
              <w:rPr>
                <w:rFonts w:hint="eastAsia" w:ascii="宋体" w:hAnsi="宋体" w:eastAsia="宋体" w:cs="宋体"/>
                <w:sz w:val="22"/>
                <w:szCs w:val="22"/>
              </w:rPr>
            </w:pPr>
            <w:r>
              <w:rPr>
                <w:rFonts w:hint="eastAsia" w:ascii="宋体" w:hAnsi="宋体" w:eastAsia="宋体" w:cs="宋体"/>
                <w:sz w:val="22"/>
                <w:szCs w:val="22"/>
                <w:lang w:val="en-US" w:eastAsia="zh-CN"/>
              </w:rPr>
              <w:t>产品质保</w:t>
            </w:r>
            <w:r>
              <w:rPr>
                <w:rFonts w:hint="eastAsia" w:ascii="宋体" w:hAnsi="宋体" w:eastAsia="宋体" w:cs="宋体"/>
                <w:sz w:val="22"/>
                <w:szCs w:val="22"/>
              </w:rPr>
              <w:t>期超过</w:t>
            </w:r>
            <w:r>
              <w:rPr>
                <w:rFonts w:hint="eastAsia" w:ascii="宋体" w:hAnsi="宋体" w:eastAsia="宋体" w:cs="宋体"/>
                <w:sz w:val="22"/>
                <w:szCs w:val="22"/>
                <w:lang w:val="en-US" w:eastAsia="zh-CN"/>
              </w:rPr>
              <w:t>遴选</w:t>
            </w:r>
            <w:r>
              <w:rPr>
                <w:rFonts w:hint="eastAsia" w:ascii="宋体" w:hAnsi="宋体" w:eastAsia="宋体" w:cs="宋体"/>
                <w:sz w:val="22"/>
                <w:szCs w:val="22"/>
              </w:rPr>
              <w:t>文件要求的，每增加1年加1分</w:t>
            </w:r>
            <w:r>
              <w:rPr>
                <w:rFonts w:hint="eastAsia" w:ascii="宋体" w:hAnsi="宋体" w:eastAsia="宋体" w:cs="宋体"/>
                <w:sz w:val="22"/>
                <w:szCs w:val="22"/>
                <w:lang w:val="en-US" w:eastAsia="zh-CN"/>
              </w:rPr>
              <w:t>，</w:t>
            </w:r>
            <w:r>
              <w:rPr>
                <w:rFonts w:hint="eastAsia" w:ascii="宋体" w:hAnsi="宋体" w:eastAsia="宋体" w:cs="宋体"/>
                <w:sz w:val="22"/>
                <w:szCs w:val="22"/>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76" w:hRule="atLeast"/>
          <w:jc w:val="center"/>
        </w:trPr>
        <w:tc>
          <w:tcPr>
            <w:tcW w:w="955" w:type="dxa"/>
            <w:noWrap w:val="0"/>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2555"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投标产品总体质量性能</w:t>
            </w:r>
          </w:p>
        </w:tc>
        <w:tc>
          <w:tcPr>
            <w:tcW w:w="1573" w:type="dxa"/>
            <w:noWrap w:val="0"/>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5592" w:type="dxa"/>
            <w:noWrap w:val="0"/>
            <w:vAlign w:val="center"/>
          </w:tcPr>
          <w:p>
            <w:pPr>
              <w:ind w:left="105" w:leftChars="50" w:right="10" w:rightChars="5"/>
              <w:rPr>
                <w:rFonts w:hint="eastAsia" w:ascii="宋体" w:hAnsi="宋体" w:eastAsia="宋体" w:cs="宋体"/>
                <w:sz w:val="22"/>
                <w:szCs w:val="22"/>
                <w:lang w:eastAsia="zh-CN"/>
              </w:rPr>
            </w:pPr>
            <w:r>
              <w:rPr>
                <w:rFonts w:hint="eastAsia" w:ascii="宋体" w:hAnsi="宋体" w:eastAsia="宋体" w:cs="宋体"/>
                <w:sz w:val="22"/>
                <w:szCs w:val="22"/>
              </w:rPr>
              <w:t>投标产品的使用情况、稳定性、故障率等总体质量性能综合评价。</w:t>
            </w:r>
          </w:p>
          <w:p>
            <w:pPr>
              <w:ind w:left="105" w:leftChars="50" w:right="10" w:rightChars="5"/>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A档：11-8</w:t>
            </w:r>
            <w:r>
              <w:rPr>
                <w:rFonts w:hint="eastAsia" w:ascii="宋体" w:hAnsi="宋体" w:eastAsia="宋体" w:cs="宋体"/>
                <w:sz w:val="22"/>
                <w:szCs w:val="22"/>
              </w:rPr>
              <w:t>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B档：7-4分；C档：3-0分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59" w:hRule="atLeast"/>
          <w:jc w:val="center"/>
        </w:trPr>
        <w:tc>
          <w:tcPr>
            <w:tcW w:w="955" w:type="dxa"/>
            <w:noWrap w:val="0"/>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2555"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市场占有率</w:t>
            </w:r>
          </w:p>
        </w:tc>
        <w:tc>
          <w:tcPr>
            <w:tcW w:w="1573" w:type="dxa"/>
            <w:noWrap w:val="0"/>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5592" w:type="dxa"/>
            <w:noWrap w:val="0"/>
            <w:vAlign w:val="center"/>
          </w:tcPr>
          <w:p>
            <w:pPr>
              <w:ind w:left="105" w:leftChars="50" w:right="10" w:rightChars="5"/>
              <w:rPr>
                <w:rFonts w:hint="eastAsia" w:ascii="宋体" w:hAnsi="宋体" w:eastAsia="宋体" w:cs="宋体"/>
                <w:sz w:val="22"/>
                <w:szCs w:val="22"/>
              </w:rPr>
            </w:pPr>
            <w:r>
              <w:rPr>
                <w:rFonts w:hint="eastAsia" w:ascii="宋体" w:hAnsi="宋体" w:eastAsia="宋体" w:cs="宋体"/>
                <w:sz w:val="22"/>
                <w:szCs w:val="22"/>
              </w:rPr>
              <w:t>提供</w:t>
            </w:r>
            <w:r>
              <w:rPr>
                <w:rFonts w:hint="eastAsia" w:ascii="宋体" w:hAnsi="宋体" w:eastAsia="宋体" w:cs="宋体"/>
                <w:sz w:val="22"/>
                <w:szCs w:val="22"/>
                <w:lang w:eastAsia="zh-CN"/>
              </w:rPr>
              <w:t>温州市或浙江省内</w:t>
            </w:r>
            <w:r>
              <w:rPr>
                <w:rFonts w:hint="eastAsia" w:ascii="宋体" w:hAnsi="宋体" w:eastAsia="宋体" w:cs="宋体"/>
                <w:sz w:val="22"/>
                <w:szCs w:val="22"/>
              </w:rPr>
              <w:t>20</w:t>
            </w:r>
            <w:r>
              <w:rPr>
                <w:rFonts w:hint="eastAsia" w:ascii="宋体" w:hAnsi="宋体" w:eastAsia="宋体" w:cs="宋体"/>
                <w:sz w:val="22"/>
                <w:szCs w:val="22"/>
                <w:lang w:val="en-US" w:eastAsia="zh-CN"/>
              </w:rPr>
              <w:t>22</w:t>
            </w:r>
            <w:r>
              <w:rPr>
                <w:rFonts w:hint="eastAsia" w:ascii="宋体" w:hAnsi="宋体" w:eastAsia="宋体" w:cs="宋体"/>
                <w:sz w:val="22"/>
                <w:szCs w:val="22"/>
              </w:rPr>
              <w:t>年1月1日起至今与最终用户签订的</w:t>
            </w:r>
            <w:r>
              <w:rPr>
                <w:rFonts w:hint="eastAsia" w:ascii="宋体" w:hAnsi="宋体" w:cs="宋体"/>
                <w:sz w:val="22"/>
                <w:szCs w:val="22"/>
                <w:lang w:val="en-US" w:eastAsia="zh-CN"/>
              </w:rPr>
              <w:t>同类项目</w:t>
            </w:r>
            <w:r>
              <w:rPr>
                <w:rFonts w:hint="eastAsia" w:ascii="宋体" w:hAnsi="宋体" w:eastAsia="宋体" w:cs="宋体"/>
                <w:sz w:val="22"/>
                <w:szCs w:val="22"/>
              </w:rPr>
              <w:t>合同复印件，每份有效合同得</w:t>
            </w:r>
            <w:r>
              <w:rPr>
                <w:rFonts w:hint="eastAsia" w:ascii="宋体" w:hAnsi="宋体" w:eastAsia="宋体" w:cs="宋体"/>
                <w:sz w:val="22"/>
                <w:szCs w:val="22"/>
                <w:lang w:val="en-US" w:eastAsia="zh-CN"/>
              </w:rPr>
              <w:t>1</w:t>
            </w:r>
            <w:r>
              <w:rPr>
                <w:rFonts w:hint="eastAsia" w:ascii="宋体" w:hAnsi="宋体" w:eastAsia="宋体" w:cs="宋体"/>
                <w:sz w:val="22"/>
                <w:szCs w:val="22"/>
              </w:rPr>
              <w:t>分，最多</w:t>
            </w:r>
            <w:r>
              <w:rPr>
                <w:rFonts w:hint="eastAsia" w:ascii="宋体" w:hAnsi="宋体" w:cs="宋体"/>
                <w:sz w:val="22"/>
                <w:szCs w:val="22"/>
                <w:lang w:val="en-US" w:eastAsia="zh-CN"/>
              </w:rPr>
              <w:t>3</w:t>
            </w:r>
            <w:r>
              <w:rPr>
                <w:rFonts w:hint="eastAsia" w:ascii="宋体" w:hAnsi="宋体" w:eastAsia="宋体" w:cs="宋体"/>
                <w:sz w:val="22"/>
                <w:szCs w:val="22"/>
              </w:rPr>
              <w:t>分。（与同一采购人签订的多份合同或协议视为一个业绩）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16" w:hRule="atLeast"/>
          <w:jc w:val="center"/>
        </w:trPr>
        <w:tc>
          <w:tcPr>
            <w:tcW w:w="955" w:type="dxa"/>
            <w:noWrap w:val="0"/>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2555" w:type="dxa"/>
            <w:noWrap w:val="0"/>
            <w:vAlign w:val="center"/>
          </w:tcPr>
          <w:p>
            <w:pPr>
              <w:rPr>
                <w:rFonts w:hint="eastAsia" w:ascii="宋体" w:hAnsi="宋体" w:eastAsia="宋体" w:cs="宋体"/>
                <w:sz w:val="22"/>
                <w:szCs w:val="22"/>
              </w:rPr>
            </w:pPr>
            <w:r>
              <w:rPr>
                <w:rFonts w:hint="eastAsia" w:ascii="宋体" w:hAnsi="宋体" w:eastAsia="宋体" w:cs="宋体"/>
                <w:sz w:val="22"/>
                <w:szCs w:val="22"/>
              </w:rPr>
              <w:t>售后服务和维修能力</w:t>
            </w:r>
          </w:p>
        </w:tc>
        <w:tc>
          <w:tcPr>
            <w:tcW w:w="1573" w:type="dxa"/>
            <w:noWrap w:val="0"/>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5592" w:type="dxa"/>
            <w:noWrap w:val="0"/>
            <w:vAlign w:val="center"/>
          </w:tcPr>
          <w:p>
            <w:pPr>
              <w:ind w:left="105" w:leftChars="50" w:right="10" w:rightChars="5"/>
              <w:rPr>
                <w:rFonts w:hint="eastAsia" w:ascii="宋体" w:hAnsi="宋体" w:eastAsia="宋体" w:cs="宋体"/>
                <w:sz w:val="22"/>
                <w:szCs w:val="22"/>
                <w:lang w:eastAsia="zh-CN"/>
              </w:rPr>
            </w:pPr>
            <w:r>
              <w:rPr>
                <w:rFonts w:hint="eastAsia" w:ascii="宋体" w:hAnsi="宋体"/>
                <w:sz w:val="22"/>
                <w:szCs w:val="22"/>
              </w:rPr>
              <w:t>对本项目提供的售后服务方案进行详细描述，至少包含售后服务网点情况、售后服务承诺、响应时间及响应程度、保障措施</w:t>
            </w:r>
            <w:r>
              <w:rPr>
                <w:rFonts w:hint="eastAsia" w:ascii="宋体" w:hAnsi="宋体"/>
                <w:sz w:val="22"/>
                <w:szCs w:val="22"/>
                <w:lang w:eastAsia="zh-CN"/>
              </w:rPr>
              <w:t>、</w:t>
            </w:r>
            <w:r>
              <w:rPr>
                <w:rFonts w:hint="eastAsia" w:ascii="宋体" w:hAnsi="宋体"/>
                <w:sz w:val="22"/>
                <w:szCs w:val="22"/>
                <w:lang w:val="en-US" w:eastAsia="zh-CN"/>
              </w:rPr>
              <w:t>维修能力</w:t>
            </w:r>
            <w:r>
              <w:rPr>
                <w:rFonts w:hint="eastAsia" w:ascii="宋体" w:hAnsi="宋体"/>
                <w:sz w:val="22"/>
                <w:szCs w:val="22"/>
              </w:rPr>
              <w:t>等。</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0-</w:t>
            </w:r>
            <w:r>
              <w:rPr>
                <w:rFonts w:hint="eastAsia" w:ascii="宋体" w:hAnsi="宋体" w:cs="宋体"/>
                <w:sz w:val="22"/>
                <w:szCs w:val="22"/>
                <w:lang w:val="en-US" w:eastAsia="zh-CN"/>
              </w:rPr>
              <w:t>10</w:t>
            </w:r>
            <w:r>
              <w:rPr>
                <w:rFonts w:hint="eastAsia" w:ascii="宋体" w:hAnsi="宋体" w:eastAsia="宋体" w:cs="宋体"/>
                <w:sz w:val="22"/>
                <w:szCs w:val="22"/>
                <w:lang w:val="en-US" w:eastAsia="zh-CN"/>
              </w:rPr>
              <w:t>分</w:t>
            </w:r>
            <w:r>
              <w:rPr>
                <w:rFonts w:hint="eastAsia" w:ascii="宋体" w:hAnsi="宋体" w:eastAsia="宋体" w:cs="宋体"/>
                <w:sz w:val="22"/>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67" w:hRule="atLeast"/>
          <w:jc w:val="center"/>
        </w:trPr>
        <w:tc>
          <w:tcPr>
            <w:tcW w:w="955" w:type="dxa"/>
            <w:noWrap w:val="0"/>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2555" w:type="dxa"/>
            <w:noWrap w:val="0"/>
            <w:vAlign w:val="center"/>
          </w:tcPr>
          <w:p>
            <w:p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制造商或代理商资质</w:t>
            </w:r>
          </w:p>
        </w:tc>
        <w:tc>
          <w:tcPr>
            <w:tcW w:w="1573" w:type="dxa"/>
            <w:noWrap w:val="0"/>
            <w:vAlign w:val="center"/>
          </w:tcPr>
          <w:p>
            <w:pPr>
              <w:jc w:val="center"/>
              <w:rPr>
                <w:rFonts w:hint="default" w:ascii="宋体" w:hAnsi="宋体" w:cs="宋体"/>
                <w:sz w:val="22"/>
                <w:szCs w:val="22"/>
                <w:lang w:val="en-US" w:eastAsia="zh-CN"/>
              </w:rPr>
            </w:pPr>
            <w:r>
              <w:rPr>
                <w:rFonts w:hint="eastAsia" w:ascii="宋体" w:hAnsi="宋体" w:cs="宋体"/>
                <w:sz w:val="22"/>
                <w:szCs w:val="22"/>
                <w:lang w:val="en-US" w:eastAsia="zh-CN"/>
              </w:rPr>
              <w:t>5</w:t>
            </w:r>
          </w:p>
        </w:tc>
        <w:tc>
          <w:tcPr>
            <w:tcW w:w="5592" w:type="dxa"/>
            <w:noWrap w:val="0"/>
            <w:vAlign w:val="center"/>
          </w:tcPr>
          <w:p>
            <w:pPr>
              <w:ind w:left="105" w:leftChars="50" w:right="10" w:rightChars="5"/>
              <w:rPr>
                <w:rFonts w:hint="eastAsia" w:ascii="宋体" w:hAnsi="宋体"/>
                <w:sz w:val="22"/>
                <w:szCs w:val="22"/>
              </w:rPr>
            </w:pPr>
            <w:r>
              <w:rPr>
                <w:rFonts w:hint="eastAsia"/>
                <w:bCs/>
                <w:sz w:val="22"/>
                <w:szCs w:val="22"/>
                <w:lang w:val="en-US" w:eastAsia="zh-CN"/>
              </w:rPr>
              <w:t>制造商或代理商具有以下认证的，</w:t>
            </w:r>
            <w:r>
              <w:rPr>
                <w:rFonts w:hint="eastAsia" w:ascii="宋体" w:hAnsi="宋体" w:eastAsia="宋体" w:cs="宋体"/>
                <w:i w:val="0"/>
                <w:iCs w:val="0"/>
                <w:color w:val="000000"/>
                <w:kern w:val="0"/>
                <w:sz w:val="22"/>
                <w:szCs w:val="22"/>
                <w:u w:val="none"/>
                <w:lang w:val="en-US" w:eastAsia="zh-CN" w:bidi="ar"/>
              </w:rPr>
              <w:t>含质量管理体系认证，信息安全管理体系认证证书，信息技术服务管理体系认证证书，环境管理体系认证，职业健康安全管理体系认证。每提供一项，得1分。须提供有效证书复印件，</w:t>
            </w:r>
            <w:r>
              <w:rPr>
                <w:bCs/>
                <w:sz w:val="22"/>
                <w:szCs w:val="22"/>
              </w:rPr>
              <w:t>未能提供有效证书的</w:t>
            </w:r>
            <w:r>
              <w:rPr>
                <w:rFonts w:hint="eastAsia"/>
                <w:bCs/>
                <w:sz w:val="22"/>
                <w:szCs w:val="22"/>
                <w:lang w:val="en-US" w:eastAsia="zh-CN"/>
              </w:rPr>
              <w:t>不得分</w:t>
            </w:r>
            <w:r>
              <w:rPr>
                <w:bCs/>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37" w:hRule="atLeast"/>
          <w:jc w:val="center"/>
        </w:trPr>
        <w:tc>
          <w:tcPr>
            <w:tcW w:w="955" w:type="dxa"/>
            <w:noWrap w:val="0"/>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2555" w:type="dxa"/>
            <w:noWrap w:val="0"/>
            <w:vAlign w:val="center"/>
          </w:tcPr>
          <w:p>
            <w:p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其他优惠承诺</w:t>
            </w:r>
          </w:p>
        </w:tc>
        <w:tc>
          <w:tcPr>
            <w:tcW w:w="1573" w:type="dxa"/>
            <w:noWrap w:val="0"/>
            <w:vAlign w:val="center"/>
          </w:tcPr>
          <w:p>
            <w:pPr>
              <w:jc w:val="center"/>
              <w:rPr>
                <w:rFonts w:hint="default" w:ascii="宋体" w:hAnsi="宋体" w:cs="宋体"/>
                <w:sz w:val="22"/>
                <w:szCs w:val="22"/>
                <w:lang w:val="en-US" w:eastAsia="zh-CN"/>
              </w:rPr>
            </w:pPr>
            <w:r>
              <w:rPr>
                <w:rFonts w:hint="eastAsia" w:ascii="宋体" w:hAnsi="宋体" w:cs="宋体"/>
                <w:sz w:val="22"/>
                <w:szCs w:val="22"/>
                <w:lang w:val="en-US" w:eastAsia="zh-CN"/>
              </w:rPr>
              <w:t>2</w:t>
            </w:r>
          </w:p>
        </w:tc>
        <w:tc>
          <w:tcPr>
            <w:tcW w:w="5592" w:type="dxa"/>
            <w:noWrap w:val="0"/>
            <w:vAlign w:val="center"/>
          </w:tcPr>
          <w:p>
            <w:pPr>
              <w:ind w:left="105" w:leftChars="50" w:right="10" w:rightChars="5"/>
              <w:rPr>
                <w:rFonts w:hint="default"/>
                <w:bCs/>
                <w:sz w:val="22"/>
                <w:szCs w:val="22"/>
                <w:lang w:val="en-US" w:eastAsia="zh-CN"/>
              </w:rPr>
            </w:pPr>
            <w:r>
              <w:rPr>
                <w:rFonts w:hint="eastAsia"/>
                <w:bCs/>
                <w:sz w:val="22"/>
                <w:szCs w:val="22"/>
                <w:lang w:val="en-US" w:eastAsia="zh-CN"/>
              </w:rPr>
              <w:t>根据投标人提供的优惠承诺进行打分（2-0分），未提供不得分。</w:t>
            </w:r>
          </w:p>
        </w:tc>
      </w:tr>
    </w:tbl>
    <w:p>
      <w:pPr>
        <w:numPr>
          <w:ilvl w:val="0"/>
          <w:numId w:val="0"/>
        </w:numPr>
        <w:spacing w:before="120" w:beforeLines="50" w:after="120" w:afterLines="50" w:line="360" w:lineRule="auto"/>
        <w:jc w:val="both"/>
        <w:rPr>
          <w:rFonts w:hint="eastAsia" w:asciiTheme="minorEastAsia" w:hAnsiTheme="minorEastAsia" w:eastAsiaTheme="minorEastAsia" w:cstheme="minorEastAsia"/>
          <w:b/>
          <w:bCs/>
          <w:spacing w:val="-4"/>
          <w:sz w:val="24"/>
          <w:szCs w:val="24"/>
          <w:lang w:val="en-US" w:eastAsia="zh-CN"/>
        </w:rPr>
      </w:pPr>
    </w:p>
    <w:p>
      <w:pPr>
        <w:pStyle w:val="2"/>
        <w:rPr>
          <w:rFonts w:hint="eastAsia"/>
          <w:lang w:val="en-US" w:eastAsia="zh-CN"/>
        </w:rPr>
      </w:pPr>
    </w:p>
    <w:p>
      <w:pPr>
        <w:numPr>
          <w:ilvl w:val="0"/>
          <w:numId w:val="0"/>
        </w:numPr>
        <w:spacing w:before="120" w:beforeLines="50" w:after="120" w:afterLines="50" w:line="360" w:lineRule="auto"/>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cstheme="minorEastAsia"/>
          <w:b/>
          <w:bCs/>
          <w:spacing w:val="-4"/>
          <w:sz w:val="24"/>
          <w:szCs w:val="24"/>
          <w:lang w:val="en-US" w:eastAsia="zh-CN"/>
        </w:rPr>
        <w:t>3</w:t>
      </w:r>
      <w:r>
        <w:rPr>
          <w:rFonts w:hint="eastAsia" w:asciiTheme="minorEastAsia" w:hAnsiTheme="minorEastAsia" w:eastAsiaTheme="minorEastAsia" w:cstheme="minorEastAsia"/>
          <w:b/>
          <w:bCs/>
          <w:spacing w:val="-4"/>
          <w:sz w:val="24"/>
          <w:szCs w:val="24"/>
          <w:lang w:val="en-US" w:eastAsia="zh-CN"/>
        </w:rPr>
        <w:t>0</w:t>
      </w:r>
      <w:r>
        <w:rPr>
          <w:rFonts w:hint="eastAsia" w:asciiTheme="minorEastAsia" w:hAnsiTheme="minorEastAsia" w:eastAsiaTheme="minorEastAsia" w:cstheme="minorEastAsia"/>
          <w:b/>
          <w:bCs/>
          <w:spacing w:val="-4"/>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价格分采用低价优先法计算，即满足招标文件要求且投标报价最低的投标报价为评标基准价，其得分为满分</w:t>
      </w:r>
      <w:r>
        <w:rPr>
          <w:rFonts w:hint="eastAsia" w:ascii="宋体" w:hAnsi="宋体" w:eastAsia="宋体" w:cs="宋体"/>
          <w:sz w:val="24"/>
          <w:szCs w:val="24"/>
          <w:lang w:val="en-US" w:eastAsia="zh-CN"/>
        </w:rPr>
        <w:t>30</w:t>
      </w:r>
      <w:r>
        <w:rPr>
          <w:rFonts w:hint="eastAsia" w:ascii="宋体" w:hAnsi="宋体" w:eastAsia="宋体" w:cs="宋体"/>
          <w:sz w:val="24"/>
          <w:szCs w:val="24"/>
        </w:rPr>
        <w:t>分。其他投标人的价格分按照下列公式计算：</w:t>
      </w:r>
    </w:p>
    <w:p>
      <w:pPr>
        <w:spacing w:line="360" w:lineRule="auto"/>
        <w:ind w:firstLine="480" w:firstLineChars="200"/>
        <w:rPr>
          <w:rFonts w:hint="eastAsia" w:ascii="新宋体" w:hAnsi="新宋体" w:eastAsia="新宋体" w:cs="新宋体"/>
          <w:b/>
          <w:bCs/>
          <w:color w:val="auto"/>
          <w:kern w:val="2"/>
          <w:sz w:val="28"/>
          <w:szCs w:val="28"/>
          <w:highlight w:val="none"/>
          <w:lang w:val="en-US" w:eastAsia="zh-CN" w:bidi="ar-SA"/>
        </w:rPr>
      </w:pPr>
      <w:r>
        <w:rPr>
          <w:rFonts w:hint="eastAsia" w:ascii="宋体" w:hAnsi="宋体" w:eastAsia="宋体" w:cs="宋体"/>
          <w:sz w:val="24"/>
          <w:szCs w:val="24"/>
        </w:rPr>
        <w:t>价格分=（评标基准价/投标报价）×</w:t>
      </w:r>
      <w:r>
        <w:rPr>
          <w:rFonts w:hint="eastAsia" w:ascii="宋体" w:hAnsi="宋体" w:eastAsia="宋体" w:cs="宋体"/>
          <w:sz w:val="24"/>
          <w:szCs w:val="24"/>
          <w:lang w:val="en-US" w:eastAsia="zh-CN"/>
        </w:rPr>
        <w:t>30</w:t>
      </w:r>
      <w:r>
        <w:rPr>
          <w:rFonts w:hint="eastAsia" w:ascii="宋体" w:hAnsi="宋体" w:eastAsia="宋体" w:cs="宋体"/>
          <w:sz w:val="24"/>
          <w:szCs w:val="24"/>
        </w:rPr>
        <w:t>%×100</w:t>
      </w:r>
    </w:p>
    <w:p>
      <w:pPr>
        <w:pStyle w:val="5"/>
        <w:jc w:val="center"/>
        <w:rPr>
          <w:rFonts w:hint="eastAsia" w:ascii="新宋体" w:hAnsi="新宋体" w:eastAsia="新宋体" w:cs="新宋体"/>
          <w:b w:val="0"/>
          <w:bCs/>
          <w:color w:val="auto"/>
          <w:sz w:val="22"/>
          <w:highlight w:val="none"/>
        </w:rPr>
      </w:pPr>
    </w:p>
    <w:p>
      <w:pPr>
        <w:rPr>
          <w:rFonts w:hint="eastAsia" w:ascii="新宋体" w:hAnsi="新宋体" w:eastAsia="新宋体" w:cs="新宋体"/>
          <w:b w:val="0"/>
          <w:bCs/>
          <w:color w:val="auto"/>
          <w:sz w:val="22"/>
          <w:highlight w:val="none"/>
        </w:rPr>
      </w:pPr>
    </w:p>
    <w:p>
      <w:pPr>
        <w:pStyle w:val="2"/>
        <w:rPr>
          <w:rFonts w:hint="eastAsia"/>
        </w:rPr>
      </w:pPr>
    </w:p>
    <w:p>
      <w:pPr>
        <w:pStyle w:val="5"/>
        <w:jc w:val="center"/>
        <w:rPr>
          <w:rFonts w:hint="eastAsia" w:ascii="新宋体" w:hAnsi="新宋体" w:eastAsia="新宋体" w:cs="新宋体"/>
          <w:b w:val="0"/>
          <w:bCs/>
          <w:color w:val="auto"/>
          <w:sz w:val="22"/>
          <w:highlight w:val="none"/>
        </w:rPr>
      </w:pPr>
      <w:r>
        <w:rPr>
          <w:rFonts w:hint="eastAsia" w:ascii="新宋体" w:hAnsi="新宋体" w:eastAsia="新宋体" w:cs="新宋体"/>
          <w:b/>
          <w:bCs/>
          <w:color w:val="auto"/>
          <w:kern w:val="2"/>
          <w:sz w:val="28"/>
          <w:szCs w:val="28"/>
          <w:highlight w:val="none"/>
          <w:lang w:val="en-US" w:eastAsia="zh-CN" w:bidi="ar-SA"/>
        </w:rPr>
        <w:t>（1）报价一览表</w:t>
      </w:r>
    </w:p>
    <w:p>
      <w:pPr>
        <w:autoSpaceDE w:val="0"/>
        <w:autoSpaceDN w:val="0"/>
        <w:spacing w:line="360" w:lineRule="auto"/>
        <w:ind w:right="893" w:firstLine="240" w:firstLineChars="100"/>
        <w:textAlignment w:val="bottom"/>
        <w:rPr>
          <w:rFonts w:hint="eastAsia" w:ascii="新宋体" w:hAnsi="新宋体" w:eastAsia="新宋体" w:cs="新宋体"/>
          <w:b w:val="0"/>
          <w:bCs/>
          <w:color w:val="auto"/>
          <w:sz w:val="22"/>
          <w:highlight w:val="none"/>
        </w:rPr>
      </w:pPr>
      <w:r>
        <w:rPr>
          <w:rFonts w:hint="eastAsia" w:ascii="宋体" w:hAnsi="宋体" w:eastAsia="宋体" w:cs="宋体"/>
          <w:b w:val="0"/>
          <w:bCs/>
          <w:color w:val="auto"/>
          <w:sz w:val="24"/>
          <w:szCs w:val="24"/>
          <w:highlight w:val="none"/>
        </w:rPr>
        <w:t xml:space="preserve"> </w:t>
      </w:r>
      <w:r>
        <w:rPr>
          <w:rFonts w:hint="eastAsia" w:ascii="新宋体" w:hAnsi="新宋体" w:eastAsia="新宋体" w:cs="新宋体"/>
          <w:b w:val="0"/>
          <w:bCs/>
          <w:color w:val="auto"/>
          <w:sz w:val="22"/>
          <w:highlight w:val="none"/>
        </w:rPr>
        <w:t xml:space="preserve">                            </w:t>
      </w:r>
    </w:p>
    <w:tbl>
      <w:tblPr>
        <w:tblStyle w:val="14"/>
        <w:tblW w:w="105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2025"/>
        <w:gridCol w:w="2642"/>
        <w:gridCol w:w="33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4608" w:type="dxa"/>
            <w:gridSpan w:val="2"/>
            <w:noWrap w:val="0"/>
            <w:vAlign w:val="center"/>
          </w:tcPr>
          <w:p>
            <w:pPr>
              <w:pStyle w:val="9"/>
              <w:jc w:val="center"/>
              <w:rPr>
                <w:rFonts w:hint="eastAsia" w:hAnsi="宋体"/>
                <w:sz w:val="24"/>
                <w:szCs w:val="24"/>
              </w:rPr>
            </w:pPr>
            <w:r>
              <w:rPr>
                <w:rFonts w:hint="eastAsia" w:hAnsi="宋体"/>
                <w:bCs/>
                <w:sz w:val="24"/>
                <w:szCs w:val="24"/>
              </w:rPr>
              <w:t>项目名称</w:t>
            </w:r>
          </w:p>
        </w:tc>
        <w:tc>
          <w:tcPr>
            <w:tcW w:w="2642" w:type="dxa"/>
            <w:noWrap w:val="0"/>
            <w:vAlign w:val="center"/>
          </w:tcPr>
          <w:p>
            <w:pPr>
              <w:pStyle w:val="9"/>
              <w:jc w:val="center"/>
              <w:rPr>
                <w:rFonts w:hint="eastAsia" w:hAnsi="宋体" w:eastAsia="宋体"/>
                <w:sz w:val="24"/>
                <w:szCs w:val="24"/>
                <w:lang w:eastAsia="zh-CN"/>
              </w:rPr>
            </w:pPr>
            <w:r>
              <w:rPr>
                <w:rFonts w:hint="eastAsia" w:hAnsi="宋体"/>
                <w:bCs/>
                <w:sz w:val="24"/>
                <w:szCs w:val="24"/>
                <w:lang w:val="en-US" w:eastAsia="zh-CN"/>
              </w:rPr>
              <w:t>数量</w:t>
            </w:r>
          </w:p>
        </w:tc>
        <w:tc>
          <w:tcPr>
            <w:tcW w:w="3349" w:type="dxa"/>
            <w:noWrap w:val="0"/>
            <w:vAlign w:val="center"/>
          </w:tcPr>
          <w:p>
            <w:pPr>
              <w:pStyle w:val="9"/>
              <w:spacing w:line="460" w:lineRule="atLeast"/>
              <w:jc w:val="center"/>
              <w:rPr>
                <w:rFonts w:hint="eastAsia" w:hAnsi="宋体" w:eastAsia="宋体"/>
                <w:sz w:val="24"/>
                <w:szCs w:val="24"/>
                <w:lang w:eastAsia="zh-CN"/>
              </w:rPr>
            </w:pPr>
            <w:r>
              <w:rPr>
                <w:rFonts w:hint="eastAsia" w:hAnsi="宋体"/>
                <w:sz w:val="24"/>
                <w:szCs w:val="24"/>
                <w:lang w:val="en-US" w:eastAsia="zh-CN"/>
              </w:rPr>
              <w:t>质保期（≥5年）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608" w:type="dxa"/>
            <w:gridSpan w:val="2"/>
            <w:noWrap w:val="0"/>
            <w:vAlign w:val="center"/>
          </w:tcPr>
          <w:p>
            <w:pPr>
              <w:jc w:val="center"/>
              <w:rPr>
                <w:rFonts w:hint="eastAsia" w:eastAsia="宋体"/>
                <w:sz w:val="24"/>
                <w:szCs w:val="24"/>
                <w:lang w:eastAsia="zh-CN"/>
              </w:rPr>
            </w:pPr>
            <w:r>
              <w:rPr>
                <w:rFonts w:hint="eastAsia" w:ascii="宋体" w:hAnsi="宋体" w:eastAsia="宋体" w:cs="宋体"/>
                <w:b w:val="0"/>
                <w:bCs/>
                <w:color w:val="auto"/>
                <w:sz w:val="24"/>
                <w:szCs w:val="24"/>
                <w:highlight w:val="none"/>
                <w:lang w:val="en-US" w:eastAsia="zh-CN"/>
              </w:rPr>
              <w:t>温州市中医显示器</w:t>
            </w:r>
            <w:r>
              <w:rPr>
                <w:rFonts w:hint="eastAsia" w:ascii="宋体" w:hAnsi="宋体" w:eastAsia="宋体" w:cs="宋体"/>
                <w:color w:val="000000"/>
                <w:sz w:val="24"/>
                <w:szCs w:val="24"/>
                <w:lang w:val="en-US" w:eastAsia="zh-CN"/>
              </w:rPr>
              <w:t>采购</w:t>
            </w:r>
            <w:r>
              <w:rPr>
                <w:rFonts w:hint="eastAsia" w:ascii="宋体" w:hAnsi="宋体" w:eastAsia="宋体" w:cs="宋体"/>
                <w:b w:val="0"/>
                <w:bCs/>
                <w:color w:val="auto"/>
                <w:sz w:val="24"/>
                <w:szCs w:val="24"/>
                <w:highlight w:val="none"/>
              </w:rPr>
              <w:t xml:space="preserve">  </w:t>
            </w:r>
            <w:r>
              <w:rPr>
                <w:rFonts w:hint="eastAsia" w:ascii="新宋体" w:hAnsi="新宋体" w:eastAsia="新宋体" w:cs="新宋体"/>
                <w:b w:val="0"/>
                <w:bCs/>
                <w:color w:val="auto"/>
                <w:sz w:val="22"/>
                <w:highlight w:val="none"/>
              </w:rPr>
              <w:t xml:space="preserve">    </w:t>
            </w:r>
          </w:p>
        </w:tc>
        <w:tc>
          <w:tcPr>
            <w:tcW w:w="2642" w:type="dxa"/>
            <w:noWrap w:val="0"/>
            <w:vAlign w:val="center"/>
          </w:tcPr>
          <w:p>
            <w:pPr>
              <w:jc w:val="center"/>
              <w:rPr>
                <w:rFonts w:hint="default" w:eastAsia="宋体"/>
                <w:sz w:val="24"/>
                <w:szCs w:val="24"/>
                <w:lang w:val="en-US" w:eastAsia="zh-CN"/>
              </w:rPr>
            </w:pPr>
            <w:r>
              <w:rPr>
                <w:rFonts w:hint="eastAsia"/>
                <w:sz w:val="24"/>
                <w:szCs w:val="24"/>
                <w:lang w:val="en-US" w:eastAsia="zh-CN"/>
              </w:rPr>
              <w:t>60台</w:t>
            </w:r>
          </w:p>
        </w:tc>
        <w:tc>
          <w:tcPr>
            <w:tcW w:w="3349" w:type="dxa"/>
            <w:noWrap w:val="0"/>
            <w:vAlign w:val="center"/>
          </w:tcPr>
          <w:p>
            <w:pPr>
              <w:pStyle w:val="9"/>
              <w:spacing w:line="460" w:lineRule="atLeast"/>
              <w:ind w:firstLine="469"/>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583" w:type="dxa"/>
            <w:vMerge w:val="restart"/>
            <w:noWrap w:val="0"/>
            <w:vAlign w:val="center"/>
          </w:tcPr>
          <w:p>
            <w:pPr>
              <w:jc w:val="center"/>
              <w:rPr>
                <w:rFonts w:hint="eastAsia" w:ascii="宋体" w:hAnsi="宋体"/>
                <w:sz w:val="24"/>
                <w:szCs w:val="24"/>
              </w:rPr>
            </w:pPr>
            <w:r>
              <w:rPr>
                <w:rFonts w:hint="eastAsia" w:ascii="宋体" w:hAnsi="宋体"/>
                <w:sz w:val="24"/>
                <w:szCs w:val="24"/>
              </w:rPr>
              <w:t>投标报价</w:t>
            </w:r>
          </w:p>
        </w:tc>
        <w:tc>
          <w:tcPr>
            <w:tcW w:w="8016" w:type="dxa"/>
            <w:gridSpan w:val="3"/>
            <w:noWrap w:val="0"/>
            <w:vAlign w:val="center"/>
          </w:tcPr>
          <w:p>
            <w:pPr>
              <w:pStyle w:val="9"/>
              <w:spacing w:line="460" w:lineRule="atLeast"/>
              <w:rPr>
                <w:rFonts w:hint="eastAsia" w:hAnsi="宋体"/>
                <w:sz w:val="24"/>
                <w:szCs w:val="24"/>
              </w:rPr>
            </w:pPr>
            <w:r>
              <w:rPr>
                <w:rFonts w:hint="eastAsia" w:hAnsi="宋体"/>
                <w:sz w:val="24"/>
                <w:szCs w:val="24"/>
              </w:rPr>
              <w:t>（大写）人民币：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583" w:type="dxa"/>
            <w:vMerge w:val="continue"/>
            <w:noWrap w:val="0"/>
            <w:vAlign w:val="center"/>
          </w:tcPr>
          <w:p>
            <w:pPr>
              <w:pStyle w:val="9"/>
              <w:spacing w:line="460" w:lineRule="atLeast"/>
              <w:ind w:firstLine="469"/>
              <w:rPr>
                <w:rFonts w:hint="eastAsia" w:hAnsi="宋体"/>
                <w:sz w:val="24"/>
                <w:szCs w:val="24"/>
              </w:rPr>
            </w:pPr>
          </w:p>
        </w:tc>
        <w:tc>
          <w:tcPr>
            <w:tcW w:w="8016" w:type="dxa"/>
            <w:gridSpan w:val="3"/>
            <w:noWrap w:val="0"/>
            <w:vAlign w:val="center"/>
          </w:tcPr>
          <w:p>
            <w:pPr>
              <w:pStyle w:val="9"/>
              <w:spacing w:line="460" w:lineRule="atLeast"/>
              <w:rPr>
                <w:rFonts w:hint="eastAsia" w:hAnsi="宋体"/>
                <w:sz w:val="24"/>
                <w:szCs w:val="24"/>
              </w:rPr>
            </w:pPr>
            <w:r>
              <w:rPr>
                <w:rFonts w:hint="eastAsia" w:hAnsi="宋体"/>
                <w:sz w:val="24"/>
                <w:szCs w:val="24"/>
              </w:rPr>
              <w:t>（小写）￥：</w:t>
            </w:r>
          </w:p>
        </w:tc>
      </w:tr>
    </w:tbl>
    <w:p>
      <w:pPr>
        <w:spacing w:line="460" w:lineRule="exact"/>
        <w:rPr>
          <w:rFonts w:hint="eastAsia" w:ascii="宋体" w:hAnsi="宋体"/>
          <w:b/>
          <w:sz w:val="22"/>
        </w:rPr>
      </w:pPr>
      <w:r>
        <w:rPr>
          <w:rFonts w:hint="eastAsia" w:ascii="宋体" w:hAnsi="宋体"/>
          <w:b/>
          <w:sz w:val="22"/>
        </w:rPr>
        <w:t>说明：</w:t>
      </w:r>
    </w:p>
    <w:p>
      <w:pPr>
        <w:spacing w:line="380" w:lineRule="exact"/>
        <w:rPr>
          <w:rFonts w:hint="eastAsia" w:ascii="宋体" w:hAnsi="宋体"/>
          <w:b/>
          <w:bCs/>
          <w:sz w:val="22"/>
          <w:szCs w:val="22"/>
        </w:rPr>
      </w:pPr>
      <w:r>
        <w:rPr>
          <w:rFonts w:hint="eastAsia" w:ascii="宋体" w:hAnsi="宋体"/>
          <w:b/>
          <w:bCs/>
          <w:sz w:val="22"/>
          <w:szCs w:val="22"/>
        </w:rPr>
        <w:t>1、此表总计价应与</w:t>
      </w:r>
      <w:r>
        <w:rPr>
          <w:rFonts w:hint="eastAsia" w:ascii="宋体" w:hAnsi="宋体"/>
          <w:b/>
          <w:bCs/>
          <w:sz w:val="22"/>
          <w:szCs w:val="22"/>
          <w:lang w:val="en-US" w:eastAsia="zh-CN"/>
        </w:rPr>
        <w:t>下</w:t>
      </w:r>
      <w:r>
        <w:rPr>
          <w:rFonts w:hint="eastAsia" w:ascii="宋体" w:hAnsi="宋体"/>
          <w:b/>
          <w:bCs/>
          <w:sz w:val="22"/>
          <w:szCs w:val="22"/>
        </w:rPr>
        <w:t>方“（</w:t>
      </w:r>
      <w:r>
        <w:rPr>
          <w:rFonts w:hint="eastAsia" w:ascii="宋体" w:hAnsi="宋体"/>
          <w:b/>
          <w:bCs/>
          <w:sz w:val="22"/>
          <w:szCs w:val="22"/>
          <w:lang w:val="en-US" w:eastAsia="zh-CN"/>
        </w:rPr>
        <w:t>二</w:t>
      </w:r>
      <w:r>
        <w:rPr>
          <w:rFonts w:hint="eastAsia" w:ascii="宋体" w:hAnsi="宋体"/>
          <w:b/>
          <w:bCs/>
          <w:sz w:val="22"/>
          <w:szCs w:val="22"/>
        </w:rPr>
        <w:t>）分项报价表”中报价相一致。</w:t>
      </w:r>
    </w:p>
    <w:p>
      <w:pPr>
        <w:spacing w:line="380" w:lineRule="exact"/>
        <w:rPr>
          <w:rFonts w:hint="eastAsia" w:ascii="宋体" w:hAnsi="宋体"/>
          <w:b/>
          <w:bCs/>
          <w:sz w:val="22"/>
          <w:szCs w:val="22"/>
        </w:rPr>
      </w:pPr>
      <w:r>
        <w:rPr>
          <w:rFonts w:hint="eastAsia" w:ascii="宋体" w:hAnsi="宋体"/>
          <w:b/>
          <w:bCs/>
          <w:sz w:val="22"/>
          <w:szCs w:val="22"/>
        </w:rPr>
        <w:t>2、不提供</w:t>
      </w:r>
      <w:r>
        <w:rPr>
          <w:rFonts w:hint="eastAsia" w:ascii="宋体" w:hAnsi="宋体"/>
          <w:b/>
          <w:bCs/>
          <w:sz w:val="22"/>
          <w:szCs w:val="22"/>
          <w:lang w:val="en-US" w:eastAsia="zh-CN"/>
        </w:rPr>
        <w:t>次表格</w:t>
      </w:r>
      <w:r>
        <w:rPr>
          <w:rFonts w:hint="eastAsia" w:ascii="宋体" w:hAnsi="宋体"/>
          <w:b/>
          <w:bCs/>
          <w:sz w:val="22"/>
          <w:szCs w:val="22"/>
        </w:rPr>
        <w:t>将视为没有实质性响应招标文件。</w:t>
      </w:r>
    </w:p>
    <w:p>
      <w:pPr>
        <w:spacing w:line="380" w:lineRule="exact"/>
        <w:rPr>
          <w:rFonts w:hint="eastAsia" w:ascii="宋体" w:hAnsi="宋体"/>
          <w:sz w:val="22"/>
          <w:szCs w:val="22"/>
        </w:rPr>
      </w:pPr>
      <w:r>
        <w:rPr>
          <w:rFonts w:hint="eastAsia" w:ascii="宋体" w:hAnsi="宋体"/>
          <w:b/>
          <w:bCs/>
          <w:sz w:val="22"/>
          <w:szCs w:val="22"/>
        </w:rPr>
        <w:t>3、以上全部报价包含货物到达甲方并能正常使用所需的一切费用，包括但不限于包装费、运输费、装卸费、保险费、安装费以及保修费、税费等。</w:t>
      </w:r>
    </w:p>
    <w:p>
      <w:pPr>
        <w:spacing w:line="360" w:lineRule="auto"/>
        <w:rPr>
          <w:rFonts w:hint="eastAsia" w:ascii="宋体" w:hAnsi="宋体"/>
          <w:sz w:val="22"/>
          <w:szCs w:val="22"/>
        </w:rPr>
      </w:pPr>
    </w:p>
    <w:p>
      <w:pPr>
        <w:pStyle w:val="2"/>
        <w:rPr>
          <w:rFonts w:hint="eastAsia" w:ascii="宋体" w:hAnsi="宋体"/>
          <w:sz w:val="22"/>
          <w:szCs w:val="22"/>
        </w:rPr>
      </w:pPr>
    </w:p>
    <w:p>
      <w:pPr>
        <w:rPr>
          <w:rFonts w:hint="eastAsia" w:ascii="宋体" w:hAnsi="宋体"/>
          <w:sz w:val="22"/>
          <w:szCs w:val="22"/>
        </w:rPr>
      </w:pPr>
    </w:p>
    <w:p>
      <w:pPr>
        <w:pStyle w:val="2"/>
        <w:rPr>
          <w:rFonts w:hint="eastAsia" w:ascii="宋体" w:hAnsi="宋体"/>
          <w:sz w:val="22"/>
          <w:szCs w:val="22"/>
        </w:rPr>
      </w:pPr>
    </w:p>
    <w:p>
      <w:pPr>
        <w:rPr>
          <w:rFonts w:hint="eastAsia"/>
        </w:rPr>
      </w:pPr>
    </w:p>
    <w:p>
      <w:pPr>
        <w:spacing w:line="360" w:lineRule="auto"/>
        <w:rPr>
          <w:rFonts w:hint="eastAsia" w:ascii="宋体" w:hAnsi="宋体"/>
          <w:sz w:val="22"/>
          <w:szCs w:val="22"/>
        </w:rPr>
      </w:pPr>
      <w:r>
        <w:rPr>
          <w:rFonts w:hint="eastAsia" w:ascii="宋体" w:hAnsi="宋体"/>
          <w:sz w:val="22"/>
          <w:szCs w:val="22"/>
        </w:rPr>
        <w:t>供应商全称（盖章）：</w:t>
      </w:r>
    </w:p>
    <w:p>
      <w:pPr>
        <w:pStyle w:val="13"/>
        <w:ind w:left="0" w:leftChars="0" w:firstLine="0" w:firstLineChars="0"/>
        <w:rPr>
          <w:rFonts w:hint="eastAsia"/>
          <w:b w:val="0"/>
          <w:bCs w:val="0"/>
        </w:rPr>
      </w:pPr>
      <w:r>
        <w:rPr>
          <w:rFonts w:hint="eastAsia" w:ascii="宋体" w:hAnsi="宋体"/>
          <w:b w:val="0"/>
          <w:bCs w:val="0"/>
          <w:sz w:val="22"/>
          <w:szCs w:val="22"/>
        </w:rPr>
        <w:t>日 期</w:t>
      </w:r>
      <w:r>
        <w:rPr>
          <w:rFonts w:hint="eastAsia" w:ascii="宋体" w:hAnsi="宋体"/>
          <w:b w:val="0"/>
          <w:bCs w:val="0"/>
          <w:sz w:val="22"/>
          <w:szCs w:val="22"/>
          <w:lang w:eastAsia="zh-CN"/>
        </w:rPr>
        <w:t>：</w:t>
      </w:r>
      <w:r>
        <w:rPr>
          <w:rFonts w:hint="eastAsia" w:ascii="宋体" w:hAnsi="宋体"/>
          <w:b w:val="0"/>
          <w:bCs w:val="0"/>
          <w:sz w:val="22"/>
          <w:szCs w:val="22"/>
          <w:lang w:val="en-US" w:eastAsia="zh-CN"/>
        </w:rPr>
        <w:t xml:space="preserve">     </w:t>
      </w:r>
      <w:r>
        <w:rPr>
          <w:rFonts w:hint="eastAsia" w:ascii="宋体" w:hAnsi="宋体"/>
          <w:b w:val="0"/>
          <w:bCs w:val="0"/>
          <w:sz w:val="22"/>
          <w:szCs w:val="22"/>
        </w:rPr>
        <w:t>年</w:t>
      </w:r>
      <w:r>
        <w:rPr>
          <w:rFonts w:hint="eastAsia" w:ascii="宋体" w:hAnsi="宋体"/>
          <w:b w:val="0"/>
          <w:bCs w:val="0"/>
          <w:sz w:val="22"/>
          <w:szCs w:val="22"/>
          <w:lang w:val="en-US" w:eastAsia="zh-CN"/>
        </w:rPr>
        <w:t xml:space="preserve">     </w:t>
      </w:r>
      <w:r>
        <w:rPr>
          <w:rFonts w:hint="eastAsia" w:ascii="宋体" w:hAnsi="宋体"/>
          <w:b w:val="0"/>
          <w:bCs w:val="0"/>
          <w:sz w:val="22"/>
          <w:szCs w:val="22"/>
        </w:rPr>
        <w:t>月</w:t>
      </w: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szCs w:val="28"/>
          <w:lang w:val="en-US" w:eastAsia="zh-CN"/>
        </w:rPr>
      </w:pPr>
    </w:p>
    <w:p>
      <w:pPr>
        <w:spacing w:line="460" w:lineRule="exact"/>
        <w:jc w:val="center"/>
        <w:rPr>
          <w:rFonts w:hint="eastAsia" w:ascii="宋体" w:hAnsi="宋体"/>
          <w:b/>
          <w:bCs/>
          <w:sz w:val="28"/>
        </w:rPr>
      </w:pPr>
      <w:r>
        <w:rPr>
          <w:rFonts w:hint="eastAsia" w:ascii="宋体" w:hAnsi="宋体"/>
          <w:b/>
          <w:bCs/>
          <w:sz w:val="28"/>
          <w:szCs w:val="28"/>
          <w:lang w:val="en-US" w:eastAsia="zh-CN"/>
        </w:rPr>
        <w:t>（二）分项报价表</w:t>
      </w:r>
    </w:p>
    <w:p>
      <w:pPr>
        <w:spacing w:line="360" w:lineRule="auto"/>
        <w:ind w:right="349" w:rightChars="166"/>
        <w:rPr>
          <w:rFonts w:hint="eastAsia" w:ascii="宋体" w:hAnsi="宋体" w:eastAsia="宋体" w:cs="宋体"/>
          <w:sz w:val="24"/>
          <w:szCs w:val="24"/>
        </w:rPr>
      </w:pPr>
      <w:r>
        <w:rPr>
          <w:rFonts w:hint="eastAsia" w:ascii="新宋体" w:hAnsi="新宋体" w:eastAsia="新宋体" w:cs="新宋体"/>
          <w:b w:val="0"/>
          <w:bCs/>
          <w:color w:val="auto"/>
          <w:sz w:val="24"/>
          <w:szCs w:val="24"/>
          <w:highlight w:val="none"/>
        </w:rPr>
        <w:t>项目名称：</w:t>
      </w:r>
      <w:r>
        <w:rPr>
          <w:rFonts w:hint="eastAsia" w:ascii="宋体" w:hAnsi="宋体" w:eastAsia="宋体" w:cs="宋体"/>
          <w:b w:val="0"/>
          <w:bCs/>
          <w:color w:val="auto"/>
          <w:sz w:val="24"/>
          <w:szCs w:val="24"/>
          <w:highlight w:val="none"/>
          <w:lang w:val="en-US" w:eastAsia="zh-CN"/>
        </w:rPr>
        <w:t>温州市中医院</w:t>
      </w:r>
      <w:r>
        <w:rPr>
          <w:rFonts w:hint="eastAsia" w:ascii="宋体" w:hAnsi="宋体" w:cs="宋体"/>
          <w:b w:val="0"/>
          <w:bCs w:val="0"/>
          <w:sz w:val="24"/>
          <w:u w:val="none"/>
          <w:lang w:val="en-US" w:eastAsia="zh-CN"/>
        </w:rPr>
        <w:t>显示器</w:t>
      </w:r>
      <w:r>
        <w:rPr>
          <w:rFonts w:hint="eastAsia" w:ascii="宋体" w:hAnsi="宋体" w:eastAsia="宋体" w:cs="宋体"/>
          <w:color w:val="000000"/>
          <w:sz w:val="24"/>
          <w:szCs w:val="24"/>
          <w:lang w:val="en-US" w:eastAsia="zh-CN"/>
        </w:rPr>
        <w:t>采购</w:t>
      </w:r>
      <w:r>
        <w:rPr>
          <w:rFonts w:hint="eastAsia" w:ascii="宋体" w:hAnsi="宋体" w:eastAsia="宋体" w:cs="宋体"/>
          <w:b w:val="0"/>
          <w:bCs/>
          <w:color w:val="auto"/>
          <w:sz w:val="24"/>
          <w:szCs w:val="24"/>
          <w:highlight w:val="none"/>
        </w:rPr>
        <w:t xml:space="preserve"> </w:t>
      </w:r>
      <w:r>
        <w:rPr>
          <w:rFonts w:hint="eastAsia" w:ascii="新宋体" w:hAnsi="新宋体" w:eastAsia="新宋体" w:cs="新宋体"/>
          <w:b w:val="0"/>
          <w:bCs/>
          <w:color w:val="auto"/>
          <w:sz w:val="22"/>
          <w:highlight w:val="none"/>
        </w:rPr>
        <w:t xml:space="preserve"> </w:t>
      </w:r>
      <w:r>
        <w:rPr>
          <w:rFonts w:hint="eastAsia" w:ascii="新宋体" w:hAnsi="新宋体" w:eastAsia="新宋体" w:cs="新宋体"/>
          <w:b w:val="0"/>
          <w:bCs/>
          <w:color w:val="auto"/>
          <w:sz w:val="24"/>
          <w:szCs w:val="24"/>
          <w:highlight w:val="none"/>
          <w:lang w:val="en-US" w:eastAsia="zh-CN"/>
        </w:rPr>
        <w:t xml:space="preserve">                            </w:t>
      </w:r>
      <w:r>
        <w:rPr>
          <w:rFonts w:hint="eastAsia" w:ascii="宋体" w:hAnsi="宋体" w:eastAsia="宋体" w:cs="宋体"/>
          <w:sz w:val="24"/>
          <w:szCs w:val="24"/>
        </w:rPr>
        <w:t>单位：元</w:t>
      </w:r>
      <w:r>
        <w:rPr>
          <w:rFonts w:hint="eastAsia" w:ascii="宋体" w:hAnsi="宋体" w:eastAsia="宋体" w:cs="宋体"/>
          <w:sz w:val="24"/>
          <w:szCs w:val="24"/>
          <w:lang w:eastAsia="zh-CN"/>
        </w:rPr>
        <w:t>（</w:t>
      </w:r>
      <w:r>
        <w:rPr>
          <w:rFonts w:hint="eastAsia" w:ascii="宋体" w:hAnsi="宋体" w:eastAsia="宋体" w:cs="宋体"/>
          <w:sz w:val="24"/>
          <w:szCs w:val="24"/>
        </w:rPr>
        <w:t>人民币</w:t>
      </w:r>
      <w:r>
        <w:rPr>
          <w:rFonts w:hint="eastAsia" w:ascii="宋体" w:hAnsi="宋体" w:eastAsia="宋体" w:cs="宋体"/>
          <w:sz w:val="24"/>
          <w:szCs w:val="24"/>
          <w:lang w:eastAsia="zh-CN"/>
        </w:rPr>
        <w:t>）</w:t>
      </w:r>
    </w:p>
    <w:tbl>
      <w:tblPr>
        <w:tblStyle w:val="14"/>
        <w:tblW w:w="102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
        <w:gridCol w:w="1096"/>
        <w:gridCol w:w="1665"/>
        <w:gridCol w:w="1335"/>
        <w:gridCol w:w="1275"/>
        <w:gridCol w:w="1335"/>
        <w:gridCol w:w="136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品牌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cs="宋体"/>
                <w:i w:val="0"/>
                <w:iCs w:val="0"/>
                <w:color w:val="000000"/>
                <w:kern w:val="0"/>
                <w:sz w:val="24"/>
                <w:szCs w:val="24"/>
                <w:u w:val="none"/>
                <w:lang w:val="en-US" w:eastAsia="zh-CN" w:bidi="ar"/>
              </w:rPr>
              <w:t>型号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8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spacing w:line="380" w:lineRule="exact"/>
        <w:ind w:right="349" w:rightChars="166"/>
        <w:rPr>
          <w:rFonts w:hint="eastAsia" w:ascii="宋体" w:hAnsi="宋体"/>
          <w:sz w:val="22"/>
          <w:szCs w:val="22"/>
        </w:rPr>
      </w:pPr>
    </w:p>
    <w:p>
      <w:pPr>
        <w:spacing w:line="460" w:lineRule="exact"/>
        <w:rPr>
          <w:rFonts w:hint="eastAsia" w:ascii="宋体" w:hAnsi="宋体"/>
          <w:b/>
          <w:sz w:val="22"/>
        </w:rPr>
      </w:pPr>
      <w:r>
        <w:rPr>
          <w:rFonts w:hint="eastAsia" w:ascii="宋体" w:hAnsi="宋体"/>
          <w:b/>
          <w:sz w:val="22"/>
        </w:rPr>
        <w:t>说明：</w:t>
      </w:r>
    </w:p>
    <w:p>
      <w:pPr>
        <w:spacing w:line="380" w:lineRule="exact"/>
        <w:rPr>
          <w:rFonts w:hint="eastAsia" w:ascii="宋体" w:hAnsi="宋体"/>
          <w:b/>
          <w:sz w:val="22"/>
          <w:lang w:val="en-US" w:eastAsia="zh-CN"/>
        </w:rPr>
      </w:pPr>
      <w:r>
        <w:rPr>
          <w:rFonts w:hint="eastAsia" w:ascii="宋体" w:hAnsi="宋体"/>
          <w:b/>
          <w:sz w:val="22"/>
          <w:lang w:val="en-US" w:eastAsia="zh-CN"/>
        </w:rPr>
        <w:t>1、此表总计价应与上方“（一）报价一览表”中报价相一致。</w:t>
      </w:r>
    </w:p>
    <w:p>
      <w:pPr>
        <w:spacing w:line="380" w:lineRule="exact"/>
        <w:rPr>
          <w:rFonts w:hint="eastAsia" w:ascii="宋体" w:hAnsi="宋体"/>
          <w:b/>
          <w:sz w:val="22"/>
          <w:lang w:val="en-US" w:eastAsia="zh-CN"/>
        </w:rPr>
      </w:pPr>
      <w:r>
        <w:rPr>
          <w:rFonts w:hint="eastAsia" w:ascii="宋体" w:hAnsi="宋体"/>
          <w:b/>
          <w:sz w:val="22"/>
          <w:lang w:val="en-US" w:eastAsia="zh-CN"/>
        </w:rPr>
        <w:t>2、不提供详细分项报价将视为没有实质性响应招标文件。</w:t>
      </w:r>
    </w:p>
    <w:p>
      <w:pPr>
        <w:spacing w:line="380" w:lineRule="exact"/>
        <w:rPr>
          <w:rFonts w:hint="eastAsia" w:ascii="宋体" w:hAnsi="宋体"/>
          <w:b/>
          <w:sz w:val="22"/>
          <w:lang w:val="en-US" w:eastAsia="zh-CN"/>
        </w:rPr>
      </w:pPr>
      <w:r>
        <w:rPr>
          <w:rFonts w:hint="eastAsia" w:ascii="宋体" w:hAnsi="宋体"/>
          <w:b/>
          <w:sz w:val="22"/>
          <w:lang w:val="en-US" w:eastAsia="zh-CN"/>
        </w:rPr>
        <w:t>3、以上全部报价包含货物到达甲方并能正常使用所需的一切费用，包括但不限于包装费、运输费、装卸费、保险费、安装费以及保修费、税费等。</w:t>
      </w:r>
    </w:p>
    <w:p>
      <w:pPr>
        <w:spacing w:line="380" w:lineRule="exact"/>
        <w:rPr>
          <w:rFonts w:hint="eastAsia" w:ascii="宋体" w:hAnsi="宋体"/>
          <w:b/>
          <w:sz w:val="22"/>
          <w:lang w:val="en-US" w:eastAsia="zh-CN"/>
        </w:rPr>
      </w:pPr>
    </w:p>
    <w:p>
      <w:pPr>
        <w:spacing w:line="360" w:lineRule="auto"/>
        <w:rPr>
          <w:rFonts w:hint="eastAsia" w:ascii="宋体" w:hAnsi="宋体"/>
          <w:sz w:val="22"/>
          <w:szCs w:val="22"/>
        </w:rPr>
      </w:pPr>
    </w:p>
    <w:p>
      <w:pPr>
        <w:spacing w:line="360" w:lineRule="auto"/>
        <w:rPr>
          <w:rFonts w:hint="eastAsia" w:ascii="宋体" w:hAnsi="宋体"/>
          <w:sz w:val="22"/>
          <w:szCs w:val="22"/>
        </w:rPr>
      </w:pPr>
    </w:p>
    <w:p>
      <w:pPr>
        <w:spacing w:line="360" w:lineRule="auto"/>
        <w:rPr>
          <w:rFonts w:hint="eastAsia" w:ascii="宋体" w:hAnsi="宋体"/>
          <w:sz w:val="22"/>
          <w:szCs w:val="22"/>
        </w:rPr>
      </w:pPr>
      <w:r>
        <w:rPr>
          <w:rFonts w:hint="eastAsia" w:ascii="宋体" w:hAnsi="宋体"/>
          <w:sz w:val="22"/>
          <w:szCs w:val="22"/>
        </w:rPr>
        <w:t>供应商全称（盖章）：</w:t>
      </w:r>
    </w:p>
    <w:p>
      <w:pPr>
        <w:spacing w:line="360" w:lineRule="auto"/>
        <w:rPr>
          <w:rFonts w:hint="eastAsia"/>
        </w:rPr>
      </w:pPr>
      <w:r>
        <w:rPr>
          <w:rFonts w:hint="eastAsia" w:ascii="宋体" w:hAnsi="宋体"/>
          <w:sz w:val="22"/>
          <w:szCs w:val="22"/>
        </w:rPr>
        <w:t xml:space="preserve">日 期：  </w:t>
      </w:r>
      <w:r>
        <w:rPr>
          <w:rFonts w:hint="eastAsia" w:ascii="宋体" w:hAnsi="宋体"/>
          <w:sz w:val="22"/>
          <w:szCs w:val="22"/>
          <w:lang w:val="en-US" w:eastAsia="zh-CN"/>
        </w:rPr>
        <w:t xml:space="preserve">   </w:t>
      </w:r>
      <w:r>
        <w:rPr>
          <w:rFonts w:hint="eastAsia" w:ascii="宋体" w:hAnsi="宋体"/>
          <w:sz w:val="22"/>
          <w:szCs w:val="22"/>
        </w:rPr>
        <w:t xml:space="preserve">年  </w:t>
      </w:r>
      <w:r>
        <w:rPr>
          <w:rFonts w:hint="eastAsia" w:ascii="宋体" w:hAnsi="宋体"/>
          <w:sz w:val="22"/>
          <w:szCs w:val="22"/>
          <w:lang w:val="en-US" w:eastAsia="zh-CN"/>
        </w:rPr>
        <w:t xml:space="preserve">   </w:t>
      </w:r>
      <w:r>
        <w:rPr>
          <w:rFonts w:hint="eastAsia" w:ascii="宋体" w:hAnsi="宋体"/>
          <w:sz w:val="22"/>
          <w:szCs w:val="22"/>
        </w:rPr>
        <w:t xml:space="preserve">月  </w:t>
      </w:r>
      <w:r>
        <w:rPr>
          <w:rFonts w:hint="eastAsia" w:ascii="宋体" w:hAnsi="宋体"/>
          <w:sz w:val="22"/>
          <w:szCs w:val="22"/>
          <w:lang w:val="en-US" w:eastAsia="zh-CN"/>
        </w:rPr>
        <w:t xml:space="preserve">   </w:t>
      </w:r>
      <w:r>
        <w:rPr>
          <w:rFonts w:hint="eastAsia" w:ascii="宋体" w:hAnsi="宋体"/>
          <w:sz w:val="22"/>
          <w:szCs w:val="22"/>
        </w:rPr>
        <w:t>日</w:t>
      </w:r>
    </w:p>
    <w:p>
      <w:pPr>
        <w:pStyle w:val="8"/>
        <w:ind w:left="0" w:leftChars="0" w:firstLine="0" w:firstLineChars="0"/>
      </w:pPr>
    </w:p>
    <w:p>
      <w:pPr>
        <w:pStyle w:val="8"/>
        <w:numPr>
          <w:ilvl w:val="0"/>
          <w:numId w:val="0"/>
        </w:numPr>
        <w:spacing w:line="360" w:lineRule="auto"/>
        <w:ind w:firstLine="480" w:firstLineChars="200"/>
        <w:rPr>
          <w:rFonts w:hint="default"/>
          <w:sz w:val="24"/>
          <w:szCs w:val="24"/>
          <w:lang w:val="en-US" w:eastAsia="zh-CN"/>
        </w:rPr>
      </w:pPr>
    </w:p>
    <w:sectPr>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fldChar w:fldCharType="begin"/>
    </w:r>
    <w:r>
      <w:rPr>
        <w:rStyle w:val="18"/>
      </w:rPr>
      <w:instrText xml:space="preserve"> PAGE </w:instrText>
    </w:r>
    <w:r>
      <w:fldChar w:fldCharType="separate"/>
    </w:r>
    <w:r>
      <w:rPr>
        <w:rStyle w:val="18"/>
      </w:rPr>
      <w:t>- 1 -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DEA52"/>
    <w:multiLevelType w:val="singleLevel"/>
    <w:tmpl w:val="A40DEA52"/>
    <w:lvl w:ilvl="0" w:tentative="0">
      <w:start w:val="3"/>
      <w:numFmt w:val="decimal"/>
      <w:suff w:val="nothing"/>
      <w:lvlText w:val="（%1）"/>
      <w:lvlJc w:val="left"/>
    </w:lvl>
  </w:abstractNum>
  <w:abstractNum w:abstractNumId="1">
    <w:nsid w:val="18D40539"/>
    <w:multiLevelType w:val="singleLevel"/>
    <w:tmpl w:val="18D40539"/>
    <w:lvl w:ilvl="0" w:tentative="0">
      <w:start w:val="5"/>
      <w:numFmt w:val="chineseCounting"/>
      <w:suff w:val="nothing"/>
      <w:lvlText w:val="%1、"/>
      <w:lvlJc w:val="left"/>
      <w:rPr>
        <w:rFonts w:hint="eastAsia"/>
      </w:rPr>
    </w:lvl>
  </w:abstractNum>
  <w:abstractNum w:abstractNumId="2">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7EE202FD"/>
    <w:multiLevelType w:val="singleLevel"/>
    <w:tmpl w:val="7EE202FD"/>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N2FlZGQyNmExMDc1YTc1OWIxYmFlNmE1NTFhMTUifQ=="/>
  </w:docVars>
  <w:rsids>
    <w:rsidRoot w:val="00A02A37"/>
    <w:rsid w:val="0007646E"/>
    <w:rsid w:val="002A0406"/>
    <w:rsid w:val="007373BC"/>
    <w:rsid w:val="00A02A37"/>
    <w:rsid w:val="00A457FA"/>
    <w:rsid w:val="00F0269D"/>
    <w:rsid w:val="01E762E7"/>
    <w:rsid w:val="03447E8E"/>
    <w:rsid w:val="04684506"/>
    <w:rsid w:val="06043E9E"/>
    <w:rsid w:val="06E15E3C"/>
    <w:rsid w:val="0C300A04"/>
    <w:rsid w:val="10C71F5A"/>
    <w:rsid w:val="192A3988"/>
    <w:rsid w:val="1D3C515C"/>
    <w:rsid w:val="22285365"/>
    <w:rsid w:val="226E2973"/>
    <w:rsid w:val="229D2E28"/>
    <w:rsid w:val="291122AA"/>
    <w:rsid w:val="2B512946"/>
    <w:rsid w:val="2B6947FB"/>
    <w:rsid w:val="2B8B6847"/>
    <w:rsid w:val="2C6763C9"/>
    <w:rsid w:val="2C77430D"/>
    <w:rsid w:val="2EBF307B"/>
    <w:rsid w:val="321B0A6F"/>
    <w:rsid w:val="3252214B"/>
    <w:rsid w:val="32E53E60"/>
    <w:rsid w:val="36942C63"/>
    <w:rsid w:val="37B235FD"/>
    <w:rsid w:val="397A2D47"/>
    <w:rsid w:val="3B0B6220"/>
    <w:rsid w:val="41A43873"/>
    <w:rsid w:val="462A298B"/>
    <w:rsid w:val="47A47999"/>
    <w:rsid w:val="47FD3F63"/>
    <w:rsid w:val="48C84ABD"/>
    <w:rsid w:val="48F2201E"/>
    <w:rsid w:val="4C215AB1"/>
    <w:rsid w:val="4CBC77E4"/>
    <w:rsid w:val="4FD147A1"/>
    <w:rsid w:val="502926AC"/>
    <w:rsid w:val="522E2CD6"/>
    <w:rsid w:val="536C61AC"/>
    <w:rsid w:val="586D09FC"/>
    <w:rsid w:val="59401D98"/>
    <w:rsid w:val="5A0F768E"/>
    <w:rsid w:val="5A3C73F0"/>
    <w:rsid w:val="62BD2580"/>
    <w:rsid w:val="63A66B70"/>
    <w:rsid w:val="66C01A18"/>
    <w:rsid w:val="6CAB53D0"/>
    <w:rsid w:val="6EAD47D5"/>
    <w:rsid w:val="747B3DF6"/>
    <w:rsid w:val="75956E1A"/>
    <w:rsid w:val="75CE1AEC"/>
    <w:rsid w:val="7C0E1C8F"/>
    <w:rsid w:val="7C812208"/>
    <w:rsid w:val="7CB726B6"/>
    <w:rsid w:val="7CCD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4">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autoRedefine/>
    <w:qFormat/>
    <w:uiPriority w:val="0"/>
    <w:pPr>
      <w:keepNext/>
      <w:keepLines/>
      <w:numPr>
        <w:ilvl w:val="3"/>
        <w:numId w:val="1"/>
      </w:numPr>
      <w:spacing w:line="540" w:lineRule="atLeast"/>
      <w:outlineLvl w:val="3"/>
    </w:pPr>
    <w:rPr>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adjustRightInd w:val="0"/>
      <w:spacing w:line="312" w:lineRule="atLeast"/>
      <w:ind w:firstLine="420"/>
      <w:textAlignment w:val="baseline"/>
    </w:pPr>
    <w:rPr>
      <w:rFonts w:ascii="仿宋_GB2312"/>
      <w:b/>
      <w:kern w:val="0"/>
      <w:szCs w:val="32"/>
    </w:rPr>
  </w:style>
  <w:style w:type="paragraph" w:styleId="6">
    <w:name w:val="Body Text"/>
    <w:basedOn w:val="1"/>
    <w:next w:val="1"/>
    <w:autoRedefine/>
    <w:qFormat/>
    <w:uiPriority w:val="0"/>
    <w:pPr>
      <w:spacing w:after="120" w:afterLines="0"/>
    </w:pPr>
  </w:style>
  <w:style w:type="paragraph" w:styleId="7">
    <w:name w:val="Body Text Indent"/>
    <w:basedOn w:val="1"/>
    <w:next w:val="8"/>
    <w:autoRedefine/>
    <w:qFormat/>
    <w:uiPriority w:val="0"/>
    <w:pPr>
      <w:ind w:firstLine="555"/>
    </w:pPr>
  </w:style>
  <w:style w:type="paragraph" w:styleId="8">
    <w:name w:val="Body Text First Indent 2"/>
    <w:basedOn w:val="7"/>
    <w:autoRedefine/>
    <w:unhideWhenUsed/>
    <w:qFormat/>
    <w:uiPriority w:val="99"/>
    <w:pPr>
      <w:ind w:firstLine="420" w:firstLineChars="200"/>
    </w:p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Balloon Text"/>
    <w:basedOn w:val="1"/>
    <w:link w:val="20"/>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6"/>
    <w:autoRedefine/>
    <w:qFormat/>
    <w:uiPriority w:val="0"/>
    <w:pPr>
      <w:ind w:firstLine="420" w:firstLineChars="100"/>
    </w:pPr>
    <w:rPr>
      <w:b/>
      <w:bCs/>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rPr>
  </w:style>
  <w:style w:type="character" w:styleId="18">
    <w:name w:val="page number"/>
    <w:autoRedefine/>
    <w:qFormat/>
    <w:uiPriority w:val="0"/>
  </w:style>
  <w:style w:type="character" w:styleId="19">
    <w:name w:val="Hyperlink"/>
    <w:basedOn w:val="16"/>
    <w:autoRedefine/>
    <w:qFormat/>
    <w:uiPriority w:val="0"/>
    <w:rPr>
      <w:color w:val="0000FF"/>
      <w:u w:val="single"/>
    </w:rPr>
  </w:style>
  <w:style w:type="character" w:customStyle="1" w:styleId="20">
    <w:name w:val="批注框文本 Char"/>
    <w:basedOn w:val="16"/>
    <w:link w:val="10"/>
    <w:autoRedefine/>
    <w:qFormat/>
    <w:uiPriority w:val="0"/>
    <w:rPr>
      <w:rFonts w:asciiTheme="minorHAnsi" w:hAnsiTheme="minorHAnsi" w:eastAsiaTheme="minorEastAsia" w:cstheme="minorBidi"/>
      <w:kern w:val="2"/>
      <w:sz w:val="18"/>
      <w:szCs w:val="18"/>
    </w:rPr>
  </w:style>
  <w:style w:type="character" w:customStyle="1" w:styleId="21">
    <w:name w:val="font31"/>
    <w:basedOn w:val="16"/>
    <w:autoRedefine/>
    <w:qFormat/>
    <w:uiPriority w:val="0"/>
    <w:rPr>
      <w:rFonts w:hint="eastAsia" w:ascii="宋体" w:hAnsi="宋体" w:eastAsia="宋体" w:cs="宋体"/>
      <w:color w:val="000000"/>
      <w:sz w:val="22"/>
      <w:szCs w:val="22"/>
      <w:u w:val="none"/>
    </w:rPr>
  </w:style>
  <w:style w:type="character" w:customStyle="1" w:styleId="22">
    <w:name w:val="font01"/>
    <w:basedOn w:val="16"/>
    <w:autoRedefine/>
    <w:qFormat/>
    <w:uiPriority w:val="0"/>
    <w:rPr>
      <w:rFonts w:hint="eastAsia" w:ascii="宋体" w:hAnsi="宋体" w:eastAsia="宋体" w:cs="宋体"/>
      <w:color w:val="000000"/>
      <w:sz w:val="22"/>
      <w:szCs w:val="22"/>
      <w:u w:val="none"/>
    </w:rPr>
  </w:style>
  <w:style w:type="character" w:customStyle="1" w:styleId="23">
    <w:name w:val="font21"/>
    <w:basedOn w:val="16"/>
    <w:autoRedefine/>
    <w:qFormat/>
    <w:uiPriority w:val="0"/>
    <w:rPr>
      <w:rFonts w:hint="eastAsia" w:ascii="宋体" w:hAnsi="宋体" w:eastAsia="宋体" w:cs="宋体"/>
      <w:color w:val="000000"/>
      <w:sz w:val="24"/>
      <w:szCs w:val="24"/>
      <w:u w:val="none"/>
    </w:rPr>
  </w:style>
  <w:style w:type="paragraph" w:customStyle="1" w:styleId="24">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2620</Words>
  <Characters>2797</Characters>
  <Lines>1</Lines>
  <Paragraphs>1</Paragraphs>
  <TotalTime>3</TotalTime>
  <ScaleCrop>false</ScaleCrop>
  <LinksUpToDate>false</LinksUpToDate>
  <CharactersWithSpaces>2857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市渔业应急处置指挥中心</cp:lastModifiedBy>
  <dcterms:modified xsi:type="dcterms:W3CDTF">2025-09-23T08:13:02Z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0DCF562098774543BC7C1908BB17A16F_13</vt:lpwstr>
  </property>
</Properties>
</file>