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lear" w:pos="840"/>
        </w:tabs>
        <w:adjustRightInd/>
        <w:snapToGrid/>
        <w:spacing w:before="120" w:after="120" w:line="360" w:lineRule="auto"/>
        <w:jc w:val="center"/>
        <w:rPr>
          <w:rFonts w:hint="default" w:ascii="宋体" w:hAnsi="宋体" w:eastAsia="宋体" w:cs="宋体"/>
          <w:b/>
          <w:bCs w:val="0"/>
          <w:sz w:val="44"/>
          <w:szCs w:val="44"/>
          <w:lang w:val="en-US"/>
        </w:rPr>
      </w:pPr>
      <w:bookmarkStart w:id="0" w:name="_Toc451522337"/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温州市中医院</w:t>
      </w:r>
      <w:bookmarkStart w:id="1" w:name="OLE_LINK1"/>
      <w:r>
        <w:rPr>
          <w:rFonts w:hint="eastAsia" w:hAnsi="宋体" w:cs="宋体"/>
          <w:b/>
          <w:bCs w:val="0"/>
          <w:color w:val="000000"/>
          <w:sz w:val="36"/>
          <w:szCs w:val="36"/>
          <w:lang w:val="en-US" w:eastAsia="zh-CN"/>
        </w:rPr>
        <w:t>中秋“购物节”供应商遴选</w:t>
      </w:r>
      <w:bookmarkEnd w:id="0"/>
      <w:bookmarkEnd w:id="1"/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 w:eastAsia="zh-CN"/>
        </w:rPr>
        <w:t>文件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一、项目概况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bookmarkStart w:id="2" w:name="OLE_LINK8"/>
      <w:r>
        <w:rPr>
          <w:rFonts w:hint="eastAsia" w:ascii="宋体" w:hAnsi="宋体" w:cs="宋体"/>
          <w:sz w:val="24"/>
          <w:szCs w:val="24"/>
          <w:lang w:val="en-US" w:eastAsia="zh-CN"/>
        </w:rPr>
        <w:t>中秋“购物节”供应商遴选</w:t>
      </w:r>
    </w:p>
    <w:bookmarkEnd w:id="2"/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采购方式：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院内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公开遴选（非政府采购）</w:t>
      </w:r>
      <w:bookmarkStart w:id="3" w:name="_GoBack"/>
      <w:bookmarkEnd w:id="3"/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采购单位:温州市中医院</w:t>
      </w:r>
    </w:p>
    <w:p>
      <w:pPr>
        <w:spacing w:line="360" w:lineRule="auto"/>
        <w:rPr>
          <w:rFonts w:hint="default" w:ascii="宋体" w:hAnsi="宋体" w:eastAsia="宋体" w:cs="宋体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</w:rPr>
        <w:t>采购</w:t>
      </w:r>
      <w:r>
        <w:rPr>
          <w:rFonts w:hint="eastAsia" w:ascii="宋体" w:hAnsi="宋体" w:cs="宋体"/>
          <w:b/>
          <w:color w:val="000000" w:themeColor="text1"/>
          <w:sz w:val="28"/>
          <w:szCs w:val="28"/>
        </w:rPr>
        <w:t>内容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</w:rPr>
        <w:t>及要求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-360" w:leftChars="0" w:right="0" w:rightChars="0" w:firstLine="723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Style w:val="20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 w:eastAsia="zh-CN"/>
        </w:rPr>
        <w:t>1、服务地点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：温州市中医院（地址：温州市六虹桥蛟尾路9号）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-360" w:leftChars="0" w:right="0" w:rightChars="0" w:firstLine="723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Style w:val="20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 w:eastAsia="zh-CN"/>
        </w:rPr>
        <w:t>2、服务</w:t>
      </w:r>
      <w:r>
        <w:rPr>
          <w:rStyle w:val="20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需求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遴选供应商总数不超过12家，涵盖以下三类商品：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 w:firstLine="723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Style w:val="20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Style w:val="20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 w:eastAsia="zh-CN"/>
        </w:rPr>
        <w:t>1）</w:t>
      </w:r>
      <w:r>
        <w:rPr>
          <w:rStyle w:val="20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日用品类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（含日化、家居用品、母婴用品等）</w:t>
      </w:r>
      <w:r>
        <w:rPr>
          <w:rFonts w:hint="eastAsia" w:ascii="宋体" w:hAnsi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 w:eastAsia="zh-CN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遴选不超过2家供应商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right="0" w:rightChars="0" w:firstLine="723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Style w:val="20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Style w:val="20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 w:eastAsia="zh-CN"/>
        </w:rPr>
        <w:t>2）</w:t>
      </w:r>
      <w:r>
        <w:rPr>
          <w:rStyle w:val="20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床上用品类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（含床单、被套、枕套、棉被等）</w:t>
      </w:r>
      <w:r>
        <w:rPr>
          <w:rFonts w:hint="eastAsia" w:ascii="宋体" w:hAnsi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 w:eastAsia="zh-CN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遴选不超过2家供应商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right="0" w:rightChars="0" w:firstLine="723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Style w:val="20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Style w:val="20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 w:eastAsia="zh-CN"/>
        </w:rPr>
        <w:t>3）</w:t>
      </w:r>
      <w:r>
        <w:rPr>
          <w:rStyle w:val="20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食品类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（含地方特产、零食、生鲜、参茸滋补品等）</w:t>
      </w:r>
      <w:r>
        <w:rPr>
          <w:rFonts w:hint="eastAsia" w:ascii="宋体" w:hAnsi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 w:eastAsia="zh-CN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遴选不超过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AFAFA"/>
        </w:rPr>
        <w:t>家供应商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。</w:t>
      </w:r>
    </w:p>
    <w:p>
      <w:pPr>
        <w:pStyle w:val="4"/>
        <w:numPr>
          <w:ilvl w:val="3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</w:pPr>
      <w:r>
        <w:rPr>
          <w:rStyle w:val="20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Style w:val="20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服务期限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：2025年9月25日—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日（共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天），供应商需全程驻场提供销售及售后服务。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供应商资格要求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1、能够独立承担法律责任；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   2、具有履行合同所必需的设备和专业技术能力；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   3、具有良好的商业信誉和健全的财务会计制度；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   4、有依法缴纳税收和社会保障资金的良好记录；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   5、法律，行政法规规定的其他条件；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60" w:lineRule="auto"/>
        <w:ind w:right="0" w:righ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近三年内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（从2022年1月1日开始计）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在经营活动中无违法、违规记录的证明文件（信用中国网站（www.creditchina.gov.cn）、中国政府采购网（www.ccgp.gov.cn）、浙江政府采购网（https://zfcg.czt.zj.gov.cn/）等政府相关平台公布为准，提供相关截图并加盖公章）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eastAsia="zh-CN"/>
        </w:rPr>
        <w:t>。</w:t>
      </w:r>
    </w:p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  <w:t>、主要商务要求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  <w:t>▲</w:t>
      </w:r>
      <w:r>
        <w:rPr>
          <w:rFonts w:hint="default" w:ascii="宋体" w:hAnsi="宋体" w:eastAsia="宋体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  <w:t>1、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  <w:t>提供报价清单</w:t>
      </w:r>
    </w:p>
    <w:p>
      <w:pPr>
        <w:spacing w:line="360" w:lineRule="auto"/>
        <w:ind w:firstLine="960" w:firstLineChars="400"/>
        <w:rPr>
          <w:rFonts w:hint="eastAsia" w:ascii="宋体" w:hAnsi="宋体" w:eastAsia="宋体"/>
          <w:b w:val="0"/>
          <w:bCs w:val="0"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PingFang-SC-Regular" w:hAnsi="PingFang-SC-Regular" w:eastAsia="PingFang-SC-Regular" w:cs="PingFang-SC-Regular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highlight w:val="none"/>
          <w:u w:val="single"/>
          <w:shd w:val="clear" w:fill="FFFFFF"/>
        </w:rPr>
        <w:t>含产品名称、品牌、规格型号、单价</w:t>
      </w:r>
      <w:r>
        <w:rPr>
          <w:rFonts w:hint="eastAsia" w:ascii="PingFang-SC-Regular" w:hAnsi="PingFang-SC-Regular" w:eastAsia="宋体" w:cs="PingFang-SC-Regular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t>等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default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2、</w:t>
      </w:r>
      <w:r>
        <w:rPr>
          <w:rFonts w:hint="default" w:ascii="宋体" w:hAnsi="宋体" w:eastAsia="宋体"/>
          <w:b/>
          <w:bCs/>
          <w:color w:val="000000"/>
          <w:sz w:val="24"/>
          <w:szCs w:val="24"/>
          <w:lang w:val="en-US" w:eastAsia="zh-CN"/>
        </w:rPr>
        <w:t>付款方式：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根据实际用量按实结算（供货数量×中标单价）。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right="0" w:rightChars="0"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Style w:val="20"/>
          <w:rFonts w:hint="eastAsia" w:ascii="宋体" w:hAnsi="宋体" w:cs="宋体"/>
          <w:b/>
          <w:bCs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Style w:val="20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服务能力</w:t>
      </w: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-510" w:leftChars="0" w:right="0" w:rightChars="0" w:firstLine="1440" w:firstLineChars="600"/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在温州市有固定仓储，承诺活动期间每日到货率≥95%，缺货需2小时内补货；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 w:firstLine="480" w:firstLineChars="200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4、供应商承诺的其他优惠条款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报价目录清单</w:t>
      </w:r>
    </w:p>
    <w:p>
      <w:pPr>
        <w:pStyle w:val="4"/>
        <w:spacing w:line="360" w:lineRule="auto"/>
        <w:jc w:val="center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</w:p>
    <w:p>
      <w:pPr>
        <w:pStyle w:val="4"/>
        <w:spacing w:line="360" w:lineRule="auto"/>
        <w:jc w:val="center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（一）报价一览表</w:t>
      </w:r>
    </w:p>
    <w:p>
      <w:pPr>
        <w:spacing w:line="360" w:lineRule="auto"/>
        <w:ind w:firstLine="440" w:firstLineChars="200"/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18"/>
          <w:highlight w:val="none"/>
        </w:rPr>
        <w:t xml:space="preserve">                       </w:t>
      </w:r>
    </w:p>
    <w:tbl>
      <w:tblPr>
        <w:tblStyle w:val="17"/>
        <w:tblW w:w="10773" w:type="dxa"/>
        <w:tblInd w:w="-4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936"/>
        <w:gridCol w:w="1744"/>
        <w:gridCol w:w="1785"/>
        <w:gridCol w:w="1560"/>
        <w:gridCol w:w="1290"/>
        <w:gridCol w:w="1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91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总计价（元）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color w:val="auto"/>
          <w:sz w:val="22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2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2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说明：</w:t>
      </w:r>
    </w:p>
    <w:p>
      <w:pPr>
        <w:spacing w:line="360" w:lineRule="auto"/>
        <w:ind w:firstLine="442" w:firstLineChars="200"/>
        <w:rPr>
          <w:rFonts w:hint="eastAsia" w:ascii="宋体" w:hAnsi="宋体" w:eastAsia="宋体" w:cs="宋体"/>
          <w:b/>
          <w:color w:val="auto"/>
          <w:sz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、全部报价均为税后价。</w:t>
      </w:r>
    </w:p>
    <w:p>
      <w:pPr>
        <w:pStyle w:val="2"/>
        <w:spacing w:line="360" w:lineRule="auto"/>
        <w:ind w:firstLine="442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2、</w:t>
      </w:r>
      <w:r>
        <w:rPr>
          <w:rFonts w:hint="eastAsia"/>
          <w:sz w:val="22"/>
          <w:szCs w:val="22"/>
        </w:rPr>
        <w:t>投标总价应包括本项目整个服务期所需的一切设备、材料、软硬件、人工、工具、设备、保险、交通、利润、税金（包含须由投标人承担的各种税费）、其它需投标人承担的费用及潜在可能涉及的一切费用。投标人应认真计算可能发生的各相关费用并计入投标报价内，在项目实施过程中不得藉此要求增加任何费用。如上述没有提及但该项目仍需要的内容，请投标人自行考虑一并计入投标报价中（未计入的，视为投标人的优惠）</w:t>
      </w:r>
    </w:p>
    <w:p>
      <w:pPr>
        <w:pStyle w:val="2"/>
        <w:spacing w:line="360" w:lineRule="auto"/>
        <w:ind w:firstLine="442" w:firstLineChars="200"/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、不提供此表格将被视为没有实质性响应文件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  <w:t>。</w:t>
      </w:r>
    </w:p>
    <w:p>
      <w:pPr>
        <w:spacing w:line="360" w:lineRule="auto"/>
        <w:ind w:firstLine="4400" w:firstLineChars="20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  供应商全称（盖章）：</w:t>
      </w:r>
    </w:p>
    <w:p>
      <w:pPr>
        <w:spacing w:line="360" w:lineRule="auto"/>
        <w:ind w:firstLine="4400" w:firstLineChars="20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  供应商代表（签字）：</w:t>
      </w:r>
    </w:p>
    <w:p>
      <w:pPr>
        <w:spacing w:line="360" w:lineRule="auto"/>
        <w:ind w:firstLine="4400" w:firstLineChars="2000"/>
        <w:rPr>
          <w:rFonts w:hint="default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  日  期：   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评分细则</w:t>
      </w:r>
    </w:p>
    <w:p>
      <w:pPr>
        <w:spacing w:line="360" w:lineRule="auto"/>
        <w:ind w:firstLine="457" w:firstLineChars="196"/>
        <w:rPr>
          <w:rStyle w:val="20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tbl>
      <w:tblPr>
        <w:tblStyle w:val="18"/>
        <w:tblW w:w="10075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95"/>
        <w:gridCol w:w="6045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评分内容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评审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细则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供应商资质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根据供应商提供的资质材料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及企业综合实力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进行打分。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A档：30-20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B档：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-10分；C档：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-0分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sz w:val="22"/>
                <w:szCs w:val="22"/>
                <w:shd w:val="clear" w:fill="FFFFFF"/>
              </w:rPr>
              <w:t>品类丰富度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spacing w:line="360" w:lineRule="auto"/>
              <w:ind w:left="105" w:leftChars="50" w:right="10" w:rightChars="5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根据供应商提供的品类进行打分。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A档：30-20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B档：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-10分；C档：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-0分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sz w:val="22"/>
                <w:szCs w:val="22"/>
                <w:shd w:val="clear" w:fill="FFFFFF"/>
              </w:rPr>
              <w:t>价格优势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根据供应商提供的价格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sz w:val="22"/>
                <w:szCs w:val="22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进行打分。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A档：20-14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B档：1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-7分；C档：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-0分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sz w:val="22"/>
                <w:szCs w:val="22"/>
                <w:shd w:val="clear" w:fill="FFFFFF"/>
              </w:rPr>
              <w:t>质量保障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根据供应商提供的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sz w:val="22"/>
                <w:szCs w:val="22"/>
                <w:shd w:val="clear" w:fill="FFFFFF"/>
              </w:rPr>
              <w:t>质检报告或品牌授权书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D0D0D"/>
                <w:spacing w:val="0"/>
                <w:sz w:val="22"/>
                <w:szCs w:val="22"/>
                <w:shd w:val="clear" w:fill="FFFFFF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sz w:val="22"/>
                <w:szCs w:val="22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进行打分。（0—10分）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食品类供应商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：持有《食品经营许可证》或《食品生产许可证》，进口食品需提供报关单及检验检疫证明；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（</w:t>
            </w: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2）</w:t>
            </w: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床上用品类供应商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：需提供产品质检报告（符合GB 18401-2010《国家纺织产品基本安全技术规范》）；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（</w:t>
            </w: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3）</w:t>
            </w:r>
            <w:r>
              <w:rPr>
                <w:rStyle w:val="2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日用品类供应商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：若涉及进口商品，需提供品牌授权书及海关进口货物报关单。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color="auto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其他优惠承诺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根据供应商提供的优惠承诺进行综合比较打分（0-10分）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</w:t>
            </w:r>
          </w:p>
        </w:tc>
      </w:tr>
    </w:tbl>
    <w:p>
      <w:pPr>
        <w:pStyle w:val="10"/>
        <w:spacing w:line="360" w:lineRule="auto"/>
        <w:ind w:left="0" w:leftChars="0" w:firstLine="0" w:firstLineChars="0"/>
        <w:rPr>
          <w:rFonts w:hint="default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4"/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</w:p>
    <w:p>
      <w:pPr>
        <w:pStyle w:val="10"/>
        <w:spacing w:line="360" w:lineRule="auto"/>
        <w:ind w:left="0" w:leftChars="0" w:firstLine="0" w:firstLineChars="0"/>
        <w:rPr>
          <w:rFonts w:hint="eastAsia"/>
        </w:rPr>
      </w:pPr>
    </w:p>
    <w:p>
      <w:pPr>
        <w:pStyle w:val="10"/>
        <w:spacing w:line="360" w:lineRule="auto"/>
        <w:rPr>
          <w:rFonts w:hint="eastAsia"/>
        </w:rPr>
      </w:pPr>
    </w:p>
    <w:p>
      <w:pPr>
        <w:pStyle w:val="10"/>
        <w:spacing w:line="360" w:lineRule="auto"/>
        <w:rPr>
          <w:rFonts w:hint="eastAsia"/>
        </w:rPr>
      </w:pPr>
    </w:p>
    <w:p>
      <w:pPr>
        <w:pStyle w:val="10"/>
        <w:spacing w:line="360" w:lineRule="auto"/>
        <w:rPr>
          <w:rFonts w:hint="eastAsia"/>
        </w:rPr>
      </w:pPr>
    </w:p>
    <w:p>
      <w:pPr>
        <w:pStyle w:val="10"/>
        <w:spacing w:line="360" w:lineRule="auto"/>
        <w:rPr>
          <w:rFonts w:hint="eastAsia"/>
        </w:rPr>
      </w:pPr>
    </w:p>
    <w:p>
      <w:pPr>
        <w:pStyle w:val="10"/>
        <w:spacing w:line="360" w:lineRule="auto"/>
        <w:ind w:left="0" w:leftChars="0" w:firstLine="0" w:firstLineChars="0"/>
        <w:rPr>
          <w:rFonts w:hint="eastAsia"/>
        </w:rPr>
      </w:pPr>
    </w:p>
    <w:p>
      <w:pPr>
        <w:pStyle w:val="10"/>
        <w:spacing w:line="360" w:lineRule="auto"/>
        <w:ind w:left="0" w:leftChars="0" w:firstLine="0" w:firstLineChars="0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sz w:val="24"/>
        </w:rPr>
      </w:pPr>
    </w:p>
    <w:p>
      <w:pPr>
        <w:spacing w:line="360" w:lineRule="auto"/>
        <w:rPr>
          <w:rFonts w:hint="eastAsia"/>
        </w:rPr>
      </w:pPr>
    </w:p>
    <w:sectPr>
      <w:footerReference r:id="rId3" w:type="default"/>
      <w:pgSz w:w="11906" w:h="16838"/>
      <w:pgMar w:top="850" w:right="1236" w:bottom="85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7D36BF"/>
    <w:multiLevelType w:val="singleLevel"/>
    <w:tmpl w:val="1B7D36B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D497C9E"/>
    <w:multiLevelType w:val="multilevel"/>
    <w:tmpl w:val="5D497C9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  <w:szCs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IzN2FlZGQyNmExMDc1YTc1OWIxYmFlNmE1NTFhMTUifQ=="/>
  </w:docVars>
  <w:rsids>
    <w:rsidRoot w:val="442D7AA8"/>
    <w:rsid w:val="000838A3"/>
    <w:rsid w:val="0029760C"/>
    <w:rsid w:val="003D41C7"/>
    <w:rsid w:val="003E091A"/>
    <w:rsid w:val="00537F7B"/>
    <w:rsid w:val="005D6C7D"/>
    <w:rsid w:val="0077449E"/>
    <w:rsid w:val="009C732C"/>
    <w:rsid w:val="00A81427"/>
    <w:rsid w:val="00BD504C"/>
    <w:rsid w:val="00DB7EDC"/>
    <w:rsid w:val="00FA6B75"/>
    <w:rsid w:val="03BC4EA5"/>
    <w:rsid w:val="03C84B20"/>
    <w:rsid w:val="04B15D87"/>
    <w:rsid w:val="05F84806"/>
    <w:rsid w:val="061E2864"/>
    <w:rsid w:val="076646E5"/>
    <w:rsid w:val="084B5379"/>
    <w:rsid w:val="09CB578A"/>
    <w:rsid w:val="0F427144"/>
    <w:rsid w:val="0F9C6A6C"/>
    <w:rsid w:val="1124087B"/>
    <w:rsid w:val="15F0193F"/>
    <w:rsid w:val="16586A57"/>
    <w:rsid w:val="16EF2001"/>
    <w:rsid w:val="17B96491"/>
    <w:rsid w:val="18274052"/>
    <w:rsid w:val="1B951E05"/>
    <w:rsid w:val="1CA644AD"/>
    <w:rsid w:val="1ED3428B"/>
    <w:rsid w:val="203F5CE6"/>
    <w:rsid w:val="204B32BB"/>
    <w:rsid w:val="2195168A"/>
    <w:rsid w:val="252A6495"/>
    <w:rsid w:val="25900E53"/>
    <w:rsid w:val="26614AE7"/>
    <w:rsid w:val="26A36964"/>
    <w:rsid w:val="26D9654C"/>
    <w:rsid w:val="2A061B01"/>
    <w:rsid w:val="2A6B7798"/>
    <w:rsid w:val="2A6D24D2"/>
    <w:rsid w:val="2C0B329E"/>
    <w:rsid w:val="2DCF6290"/>
    <w:rsid w:val="2EE23DA1"/>
    <w:rsid w:val="31C16B04"/>
    <w:rsid w:val="32E87DD1"/>
    <w:rsid w:val="33F15215"/>
    <w:rsid w:val="35584BB1"/>
    <w:rsid w:val="368048EA"/>
    <w:rsid w:val="36F20F59"/>
    <w:rsid w:val="36FF0897"/>
    <w:rsid w:val="38473A9D"/>
    <w:rsid w:val="38620F4A"/>
    <w:rsid w:val="3A5C534F"/>
    <w:rsid w:val="3AA307AA"/>
    <w:rsid w:val="3D4A148F"/>
    <w:rsid w:val="3D766728"/>
    <w:rsid w:val="3F351791"/>
    <w:rsid w:val="42417305"/>
    <w:rsid w:val="43F47C2B"/>
    <w:rsid w:val="442D7AA8"/>
    <w:rsid w:val="45043178"/>
    <w:rsid w:val="45B222C8"/>
    <w:rsid w:val="46AB0BAA"/>
    <w:rsid w:val="4AB364B3"/>
    <w:rsid w:val="4B2C08F7"/>
    <w:rsid w:val="4B86017E"/>
    <w:rsid w:val="4BB26B7D"/>
    <w:rsid w:val="4F835253"/>
    <w:rsid w:val="50014B90"/>
    <w:rsid w:val="50430A48"/>
    <w:rsid w:val="51776B88"/>
    <w:rsid w:val="52957526"/>
    <w:rsid w:val="539C47DE"/>
    <w:rsid w:val="57A36574"/>
    <w:rsid w:val="58D72375"/>
    <w:rsid w:val="5A1D1FAE"/>
    <w:rsid w:val="5D2B41A3"/>
    <w:rsid w:val="5DAF6DF6"/>
    <w:rsid w:val="5EEC01A1"/>
    <w:rsid w:val="61165EE3"/>
    <w:rsid w:val="61E865CA"/>
    <w:rsid w:val="63750765"/>
    <w:rsid w:val="64607667"/>
    <w:rsid w:val="64F466B7"/>
    <w:rsid w:val="654C0859"/>
    <w:rsid w:val="658A4855"/>
    <w:rsid w:val="65B0017A"/>
    <w:rsid w:val="677734BF"/>
    <w:rsid w:val="68EA35C9"/>
    <w:rsid w:val="6AD77E43"/>
    <w:rsid w:val="6FA3415F"/>
    <w:rsid w:val="712E3A4E"/>
    <w:rsid w:val="71BA3A22"/>
    <w:rsid w:val="71CD3E62"/>
    <w:rsid w:val="724D0AFE"/>
    <w:rsid w:val="72E83474"/>
    <w:rsid w:val="72F62F44"/>
    <w:rsid w:val="75A35A24"/>
    <w:rsid w:val="78362761"/>
    <w:rsid w:val="78BC52C2"/>
    <w:rsid w:val="79F966D5"/>
    <w:rsid w:val="7D531607"/>
    <w:rsid w:val="7DBF4FA6"/>
    <w:rsid w:val="7E036272"/>
    <w:rsid w:val="7E325778"/>
    <w:rsid w:val="7E7A2C7B"/>
    <w:rsid w:val="7EEE556E"/>
    <w:rsid w:val="7EFA0DDF"/>
    <w:rsid w:val="7F0817C6"/>
    <w:rsid w:val="7FAE61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autoRedefine/>
    <w:qFormat/>
    <w:uiPriority w:val="9"/>
    <w:pPr>
      <w:keepNext/>
      <w:keepLines/>
      <w:tabs>
        <w:tab w:val="left" w:pos="840"/>
      </w:tabs>
      <w:adjustRightInd w:val="0"/>
      <w:snapToGrid w:val="0"/>
      <w:spacing w:line="360" w:lineRule="auto"/>
      <w:outlineLvl w:val="0"/>
    </w:pPr>
    <w:rPr>
      <w:rFonts w:ascii="宋体"/>
      <w:b/>
      <w:kern w:val="44"/>
      <w:sz w:val="2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line="540" w:lineRule="atLeast"/>
      <w:outlineLvl w:val="3"/>
    </w:pPr>
    <w:rPr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next w:val="7"/>
    <w:autoRedefine/>
    <w:qFormat/>
    <w:uiPriority w:val="0"/>
    <w:pPr>
      <w:spacing w:after="120" w:afterLines="0"/>
    </w:pPr>
  </w:style>
  <w:style w:type="paragraph" w:styleId="7">
    <w:name w:val="Body Text First Indent"/>
    <w:basedOn w:val="6"/>
    <w:next w:val="8"/>
    <w:autoRedefine/>
    <w:qFormat/>
    <w:uiPriority w:val="0"/>
    <w:pPr>
      <w:ind w:firstLine="420" w:firstLineChars="100"/>
    </w:pPr>
    <w:rPr>
      <w:b/>
      <w:bCs/>
      <w:szCs w:val="24"/>
    </w:rPr>
  </w:style>
  <w:style w:type="paragraph" w:styleId="8">
    <w:name w:val="toc 6"/>
    <w:basedOn w:val="1"/>
    <w:next w:val="1"/>
    <w:autoRedefine/>
    <w:qFormat/>
    <w:uiPriority w:val="0"/>
    <w:pPr>
      <w:ind w:left="2100" w:leftChars="1000"/>
    </w:pPr>
  </w:style>
  <w:style w:type="paragraph" w:styleId="9">
    <w:name w:val="Body Text Indent"/>
    <w:basedOn w:val="1"/>
    <w:next w:val="10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  <w14:ligatures w14:val="none"/>
    </w:rPr>
  </w:style>
  <w:style w:type="paragraph" w:styleId="10">
    <w:name w:val="Body Text First Indent 2"/>
    <w:basedOn w:val="9"/>
    <w:autoRedefine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paragraph" w:styleId="11">
    <w:name w:val="Plain Text"/>
    <w:basedOn w:val="1"/>
    <w:autoRedefine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12">
    <w:name w:val="footer"/>
    <w:basedOn w:val="1"/>
    <w:link w:val="2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qFormat/>
    <w:uiPriority w:val="39"/>
    <w:pPr>
      <w:spacing w:before="120" w:after="120" w:line="360" w:lineRule="auto"/>
      <w:jc w:val="left"/>
    </w:pPr>
    <w:rPr>
      <w:b/>
      <w:bCs/>
      <w:caps/>
      <w:sz w:val="24"/>
      <w:szCs w:val="20"/>
    </w:rPr>
  </w:style>
  <w:style w:type="paragraph" w:styleId="1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autoRedefine/>
    <w:qFormat/>
    <w:uiPriority w:val="0"/>
    <w:pPr>
      <w:jc w:val="center"/>
    </w:pPr>
    <w:rPr>
      <w:rFonts w:ascii="Arial" w:hAnsi="Arial" w:eastAsia="宋体"/>
      <w:b/>
      <w:kern w:val="0"/>
      <w:sz w:val="36"/>
      <w:szCs w:val="20"/>
      <w:lang w:eastAsia="en-US"/>
      <w14:ligatures w14:val="none"/>
    </w:rPr>
  </w:style>
  <w:style w:type="table" w:styleId="18">
    <w:name w:val="Table Grid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22"/>
    <w:rPr>
      <w:b/>
    </w:rPr>
  </w:style>
  <w:style w:type="character" w:styleId="21">
    <w:name w:val="page number"/>
    <w:autoRedefine/>
    <w:qFormat/>
    <w:uiPriority w:val="0"/>
  </w:style>
  <w:style w:type="paragraph" w:customStyle="1" w:styleId="22">
    <w:name w:val="BodyText1I"/>
    <w:basedOn w:val="23"/>
    <w:autoRedefine/>
    <w:qFormat/>
    <w:uiPriority w:val="0"/>
    <w:pPr>
      <w:ind w:firstLine="420" w:firstLineChars="100"/>
    </w:pPr>
  </w:style>
  <w:style w:type="paragraph" w:customStyle="1" w:styleId="23">
    <w:name w:val="BodyText"/>
    <w:basedOn w:val="1"/>
    <w:autoRedefine/>
    <w:qFormat/>
    <w:uiPriority w:val="0"/>
    <w:pPr>
      <w:spacing w:after="120"/>
    </w:pPr>
  </w:style>
  <w:style w:type="paragraph" w:customStyle="1" w:styleId="24">
    <w:name w:val="表格文字"/>
    <w:basedOn w:val="1"/>
    <w:next w:val="6"/>
    <w:autoRedefine/>
    <w:qFormat/>
    <w:uiPriority w:val="0"/>
    <w:pPr>
      <w:autoSpaceDE w:val="0"/>
      <w:autoSpaceDN w:val="0"/>
      <w:adjustRightInd w:val="0"/>
      <w:spacing w:line="420" w:lineRule="atLeast"/>
      <w:jc w:val="left"/>
      <w:textAlignment w:val="baseline"/>
    </w:pPr>
    <w:rPr>
      <w:rFonts w:hAnsi="宋体" w:cs="宋体"/>
      <w:kern w:val="0"/>
      <w:sz w:val="22"/>
      <w:lang w:val="zh-CN" w:bidi="zh-CN"/>
    </w:rPr>
  </w:style>
  <w:style w:type="character" w:customStyle="1" w:styleId="25">
    <w:name w:val="页眉 Char"/>
    <w:basedOn w:val="19"/>
    <w:link w:val="13"/>
    <w:autoRedefine/>
    <w:qFormat/>
    <w:uiPriority w:val="0"/>
    <w:rPr>
      <w:kern w:val="2"/>
      <w:sz w:val="18"/>
      <w:szCs w:val="18"/>
    </w:rPr>
  </w:style>
  <w:style w:type="character" w:customStyle="1" w:styleId="26">
    <w:name w:val="页脚 Char"/>
    <w:basedOn w:val="19"/>
    <w:link w:val="12"/>
    <w:autoRedefine/>
    <w:qFormat/>
    <w:uiPriority w:val="0"/>
    <w:rPr>
      <w:kern w:val="2"/>
      <w:sz w:val="18"/>
      <w:szCs w:val="18"/>
    </w:rPr>
  </w:style>
  <w:style w:type="paragraph" w:styleId="27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列出段落1"/>
    <w:basedOn w:val="1"/>
    <w:autoRedefine/>
    <w:qFormat/>
    <w:uiPriority w:val="0"/>
    <w:pPr>
      <w:widowControl/>
      <w:spacing w:after="160" w:line="360" w:lineRule="auto"/>
      <w:ind w:left="720"/>
      <w:contextualSpacing/>
      <w:jc w:val="left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2033</Words>
  <Characters>2299</Characters>
  <Lines>17</Lines>
  <Paragraphs>4</Paragraphs>
  <TotalTime>8</TotalTime>
  <ScaleCrop>false</ScaleCrop>
  <LinksUpToDate>false</LinksUpToDate>
  <CharactersWithSpaces>2342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2019-08-15T01:42:00Z</dcterms:created>
  <dc:creator>小米</dc:creator>
  <cp:lastModifiedBy>市渔业应急处置指挥中心</cp:lastModifiedBy>
  <dcterms:modified xsi:type="dcterms:W3CDTF">2025-09-05T02:11:00Z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BDC350B777C44DFDACB8FBB696258D1E</vt:lpwstr>
  </property>
</Properties>
</file>