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4"/>
          <w:rFonts w:hint="eastAsia" w:asciiTheme="minorEastAsia" w:hAnsiTheme="minorEastAsia" w:eastAsiaTheme="minorEastAsia" w:cstheme="minorEastAsia"/>
          <w:b/>
          <w:bCs/>
          <w:sz w:val="32"/>
          <w:szCs w:val="32"/>
          <w:lang w:val="en-US" w:eastAsia="zh-CN"/>
        </w:rPr>
      </w:pPr>
      <w:r>
        <w:rPr>
          <w:rStyle w:val="14"/>
          <w:rFonts w:hint="eastAsia" w:asciiTheme="minorEastAsia" w:hAnsiTheme="minorEastAsia" w:eastAsiaTheme="minorEastAsia" w:cstheme="minorEastAsia"/>
          <w:b/>
          <w:bCs/>
          <w:sz w:val="36"/>
          <w:szCs w:val="36"/>
          <w:lang w:val="en-US" w:eastAsia="zh-CN"/>
        </w:rPr>
        <w:t>温州市中医院关于</w:t>
      </w:r>
      <w:r>
        <w:rPr>
          <w:rStyle w:val="14"/>
          <w:rFonts w:hint="eastAsia" w:asciiTheme="minorEastAsia" w:hAnsiTheme="minorEastAsia" w:cstheme="minorEastAsia"/>
          <w:b/>
          <w:bCs/>
          <w:sz w:val="36"/>
          <w:szCs w:val="36"/>
          <w:lang w:val="en-US" w:eastAsia="zh-CN"/>
        </w:rPr>
        <w:t>切片机</w:t>
      </w:r>
      <w:r>
        <w:rPr>
          <w:rStyle w:val="14"/>
          <w:rFonts w:hint="eastAsia" w:asciiTheme="minorEastAsia" w:hAnsiTheme="minorEastAsia" w:eastAsiaTheme="minorEastAsia" w:cstheme="minorEastAsia"/>
          <w:b/>
          <w:bCs/>
          <w:sz w:val="36"/>
          <w:szCs w:val="36"/>
          <w:lang w:val="en-US" w:eastAsia="zh-CN"/>
        </w:rPr>
        <w:t>的招标</w:t>
      </w:r>
    </w:p>
    <w:p>
      <w:pPr>
        <w:numPr>
          <w:ilvl w:val="0"/>
          <w:numId w:val="1"/>
        </w:numPr>
        <w:jc w:val="both"/>
        <w:rPr>
          <w:rStyle w:val="14"/>
          <w:rFonts w:hint="eastAsia" w:asciiTheme="minorEastAsia" w:hAnsiTheme="minorEastAsia" w:eastAsiaTheme="minorEastAsia" w:cstheme="minorEastAsia"/>
          <w:b/>
          <w:bCs/>
          <w:sz w:val="32"/>
          <w:szCs w:val="32"/>
        </w:rPr>
      </w:pPr>
      <w:r>
        <w:rPr>
          <w:rStyle w:val="14"/>
          <w:rFonts w:hint="eastAsia" w:asciiTheme="minorEastAsia" w:hAnsiTheme="minorEastAsia" w:eastAsiaTheme="minorEastAsia" w:cstheme="minorEastAsia"/>
          <w:b/>
          <w:bCs/>
          <w:sz w:val="32"/>
          <w:szCs w:val="32"/>
        </w:rPr>
        <w:t>项目基本情况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9"/>
        <w:gridCol w:w="1434"/>
        <w:gridCol w:w="1435"/>
        <w:gridCol w:w="3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9" w:type="dxa"/>
            <w:vAlign w:val="top"/>
          </w:tcPr>
          <w:p>
            <w:pPr>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项目名称切片机</w:t>
            </w:r>
          </w:p>
        </w:tc>
        <w:tc>
          <w:tcPr>
            <w:tcW w:w="2869" w:type="dxa"/>
            <w:gridSpan w:val="2"/>
            <w:vAlign w:val="top"/>
          </w:tcPr>
          <w:p>
            <w:pPr>
              <w:jc w:val="both"/>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项目编号：</w:t>
            </w:r>
            <w:r>
              <w:rPr>
                <w:rFonts w:hint="eastAsia" w:asciiTheme="minorEastAsia" w:hAnsiTheme="minorEastAsia" w:cstheme="minorEastAsia"/>
                <w:color w:val="auto"/>
                <w:sz w:val="24"/>
                <w:szCs w:val="24"/>
                <w:vertAlign w:val="baseline"/>
                <w:lang w:val="en-US" w:eastAsia="zh-CN"/>
              </w:rPr>
              <w:t>2025-sb-cg-002</w:t>
            </w:r>
          </w:p>
        </w:tc>
        <w:tc>
          <w:tcPr>
            <w:tcW w:w="3440" w:type="dxa"/>
            <w:vAlign w:val="top"/>
          </w:tcPr>
          <w:p>
            <w:pPr>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项目预算总金额：8万元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9" w:type="dxa"/>
          </w:tcPr>
          <w:p>
            <w:pPr>
              <w:jc w:val="both"/>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设备1：切片机</w:t>
            </w:r>
          </w:p>
        </w:tc>
        <w:tc>
          <w:tcPr>
            <w:tcW w:w="1434" w:type="dxa"/>
          </w:tcPr>
          <w:p>
            <w:pPr>
              <w:jc w:val="left"/>
              <w:rPr>
                <w:rFonts w:hint="default"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eastAsia="zh-CN"/>
              </w:rPr>
              <w:t>数量：1</w:t>
            </w:r>
          </w:p>
        </w:tc>
        <w:tc>
          <w:tcPr>
            <w:tcW w:w="1435" w:type="dxa"/>
          </w:tcPr>
          <w:p>
            <w:pPr>
              <w:jc w:val="left"/>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国产</w:t>
            </w:r>
          </w:p>
        </w:tc>
        <w:tc>
          <w:tcPr>
            <w:tcW w:w="3440" w:type="dxa"/>
          </w:tcPr>
          <w:p>
            <w:pPr>
              <w:jc w:val="left"/>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预算</w:t>
            </w:r>
            <w:r>
              <w:rPr>
                <w:rFonts w:hint="eastAsia" w:ascii="宋体" w:hAnsi="宋体" w:eastAsia="宋体" w:cs="宋体"/>
                <w:b w:val="0"/>
                <w:bCs w:val="0"/>
                <w:color w:val="auto"/>
                <w:sz w:val="21"/>
                <w:szCs w:val="21"/>
                <w:lang w:val="en-US" w:eastAsia="zh-CN"/>
              </w:rPr>
              <w:t>单价：8万元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4"/>
          </w:tcPr>
          <w:p>
            <w:pPr>
              <w:jc w:val="both"/>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color w:val="auto"/>
                <w:sz w:val="21"/>
                <w:szCs w:val="21"/>
              </w:rPr>
              <w:t>备注：</w:t>
            </w:r>
            <w:r>
              <w:rPr>
                <w:rFonts w:hint="eastAsia" w:ascii="宋体" w:hAnsi="宋体" w:eastAsia="宋体" w:cs="宋体"/>
                <w:color w:val="auto"/>
                <w:sz w:val="21"/>
                <w:szCs w:val="21"/>
                <w:lang w:eastAsia="zh-CN"/>
              </w:rPr>
              <w:t>不</w:t>
            </w:r>
            <w:r>
              <w:rPr>
                <w:rFonts w:hint="eastAsia" w:ascii="宋体" w:hAnsi="宋体" w:eastAsia="宋体" w:cs="宋体"/>
                <w:color w:val="auto"/>
                <w:sz w:val="21"/>
                <w:szCs w:val="21"/>
                <w:lang w:val="en-US" w:eastAsia="zh-CN"/>
              </w:rPr>
              <w:t>允许进口</w:t>
            </w:r>
          </w:p>
        </w:tc>
      </w:tr>
    </w:tbl>
    <w:p>
      <w:pPr>
        <w:jc w:val="both"/>
        <w:rPr>
          <w:rFonts w:hint="eastAsia" w:asciiTheme="minorEastAsia" w:hAnsiTheme="minorEastAsia" w:eastAsiaTheme="minorEastAsia" w:cstheme="minorEastAsia"/>
          <w:b w:val="0"/>
          <w:bCs w:val="0"/>
          <w:sz w:val="24"/>
          <w:szCs w:val="24"/>
        </w:rPr>
      </w:pPr>
    </w:p>
    <w:p>
      <w:pPr>
        <w:numPr>
          <w:ilvl w:val="0"/>
          <w:numId w:val="1"/>
        </w:numPr>
        <w:jc w:val="both"/>
        <w:rPr>
          <w:rStyle w:val="14"/>
          <w:rFonts w:hint="eastAsia" w:asciiTheme="minorEastAsia" w:hAnsiTheme="minorEastAsia" w:eastAsiaTheme="minorEastAsia" w:cstheme="minorEastAsia"/>
          <w:b/>
          <w:bCs/>
          <w:sz w:val="32"/>
          <w:szCs w:val="32"/>
          <w:lang w:val="en-US" w:eastAsia="zh-CN"/>
        </w:rPr>
      </w:pPr>
      <w:r>
        <w:rPr>
          <w:rStyle w:val="14"/>
          <w:rFonts w:hint="eastAsia" w:asciiTheme="minorEastAsia" w:hAnsiTheme="minorEastAsia" w:eastAsiaTheme="minorEastAsia" w:cstheme="minorEastAsia"/>
          <w:b/>
          <w:bCs/>
          <w:sz w:val="32"/>
          <w:szCs w:val="32"/>
          <w:lang w:val="en-US" w:eastAsia="zh-CN"/>
        </w:rPr>
        <w:t>采购方式和定标原则</w:t>
      </w:r>
    </w:p>
    <w:p>
      <w:pPr>
        <w:numPr>
          <w:ilvl w:val="0"/>
          <w:numId w:val="0"/>
        </w:num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本项目我院采取院内组织公开招标的方式，以综合评分最高者中标的原则确定中标供应商。</w:t>
      </w:r>
    </w:p>
    <w:p>
      <w:pPr>
        <w:pStyle w:val="8"/>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Style w:val="14"/>
          <w:rFonts w:hint="eastAsia" w:asciiTheme="minorEastAsia" w:hAnsiTheme="minorEastAsia" w:eastAsiaTheme="minorEastAsia" w:cstheme="minorEastAsia"/>
          <w:b/>
          <w:bCs/>
          <w:kern w:val="2"/>
          <w:sz w:val="32"/>
          <w:szCs w:val="32"/>
          <w:lang w:val="en-US" w:eastAsia="zh-CN" w:bidi="ar-SA"/>
        </w:rPr>
      </w:pPr>
      <w:r>
        <w:rPr>
          <w:rStyle w:val="14"/>
          <w:rFonts w:hint="eastAsia" w:asciiTheme="minorEastAsia" w:hAnsiTheme="minorEastAsia" w:eastAsiaTheme="minorEastAsia" w:cstheme="minorEastAsia"/>
          <w:b/>
          <w:bCs/>
          <w:kern w:val="2"/>
          <w:sz w:val="32"/>
          <w:szCs w:val="32"/>
          <w:lang w:val="en-US" w:eastAsia="zh-CN" w:bidi="ar-SA"/>
        </w:rPr>
        <w:t>获取招标文件</w:t>
      </w:r>
    </w:p>
    <w:p>
      <w:pPr>
        <w:pStyle w:val="8"/>
        <w:keepNext w:val="0"/>
        <w:keepLines w:val="0"/>
        <w:widowControl/>
        <w:suppressLineNumbers w:val="0"/>
        <w:spacing w:line="300" w:lineRule="atLeast"/>
        <w:rPr>
          <w:rFonts w:hint="eastAsia" w:asciiTheme="minorEastAsia" w:hAnsiTheme="minorEastAsia" w:eastAsiaTheme="minorEastAsia" w:cstheme="minorEastAsia"/>
          <w:kern w:val="2"/>
          <w:sz w:val="21"/>
          <w:szCs w:val="21"/>
          <w:highlight w:val="yellow"/>
          <w:lang w:val="en-US" w:eastAsia="zh-CN" w:bidi="ar-SA"/>
        </w:rPr>
      </w:pPr>
      <w:r>
        <w:rPr>
          <w:rFonts w:hint="eastAsia" w:asciiTheme="minorEastAsia" w:hAnsiTheme="minorEastAsia" w:eastAsiaTheme="minorEastAsia" w:cstheme="minorEastAsia"/>
          <w:kern w:val="2"/>
          <w:sz w:val="21"/>
          <w:szCs w:val="21"/>
          <w:lang w:val="en-US" w:eastAsia="zh-CN" w:bidi="ar-SA"/>
        </w:rPr>
        <w:t>地点（网址）</w:t>
      </w:r>
      <w:r>
        <w:rPr>
          <w:rFonts w:hint="eastAsia" w:asciiTheme="minorEastAsia" w:hAnsiTheme="minorEastAsia" w:eastAsiaTheme="minorEastAsia" w:cstheme="minorEastAsia"/>
          <w:kern w:val="2"/>
          <w:sz w:val="21"/>
          <w:szCs w:val="21"/>
          <w:highlight w:val="none"/>
          <w:lang w:val="en-US" w:eastAsia="zh-CN" w:bidi="ar-SA"/>
        </w:rPr>
        <w:t>：</w:t>
      </w:r>
      <w:r>
        <w:rPr>
          <w:rFonts w:hint="eastAsia" w:asciiTheme="minorEastAsia" w:hAnsiTheme="minorEastAsia" w:eastAsiaTheme="minorEastAsia" w:cstheme="minorEastAsia"/>
          <w:kern w:val="2"/>
          <w:sz w:val="21"/>
          <w:szCs w:val="21"/>
          <w:highlight w:val="none"/>
          <w:lang w:eastAsia="zh-CN"/>
        </w:rPr>
        <w:t>h</w:t>
      </w:r>
      <w:r>
        <w:rPr>
          <w:rFonts w:hint="eastAsia" w:asciiTheme="minorEastAsia" w:hAnsiTheme="minorEastAsia" w:eastAsiaTheme="minorEastAsia" w:cstheme="minorEastAsia"/>
          <w:kern w:val="2"/>
          <w:sz w:val="21"/>
          <w:szCs w:val="21"/>
          <w:lang w:eastAsia="zh-CN"/>
        </w:rPr>
        <w:t>ttp://www.wzszyy.com/</w:t>
      </w:r>
    </w:p>
    <w:p>
      <w:pPr>
        <w:pStyle w:val="8"/>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Style w:val="14"/>
          <w:rFonts w:hint="eastAsia" w:asciiTheme="minorEastAsia" w:hAnsiTheme="minorEastAsia" w:eastAsiaTheme="minorEastAsia" w:cstheme="minorEastAsia"/>
          <w:b/>
          <w:bCs/>
          <w:kern w:val="2"/>
          <w:sz w:val="32"/>
          <w:szCs w:val="32"/>
          <w:lang w:val="en-US" w:eastAsia="zh-CN" w:bidi="ar-SA"/>
        </w:rPr>
      </w:pPr>
      <w:r>
        <w:rPr>
          <w:rStyle w:val="14"/>
          <w:rFonts w:hint="eastAsia" w:asciiTheme="minorEastAsia" w:hAnsiTheme="minorEastAsia" w:eastAsiaTheme="minorEastAsia" w:cstheme="minorEastAsia"/>
          <w:b/>
          <w:bCs/>
          <w:kern w:val="2"/>
          <w:sz w:val="32"/>
          <w:szCs w:val="32"/>
          <w:lang w:val="en-US" w:eastAsia="zh-CN" w:bidi="ar-SA"/>
        </w:rPr>
        <w:t>提交投标文件截止时间、开标时间和地点</w:t>
      </w:r>
    </w:p>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kern w:val="2"/>
          <w:sz w:val="21"/>
          <w:szCs w:val="21"/>
          <w:lang w:val="en-US" w:eastAsia="zh-CN" w:bidi="ar-SA"/>
        </w:rPr>
        <w:t>1、</w:t>
      </w:r>
      <w:r>
        <w:rPr>
          <w:rFonts w:hint="eastAsia" w:asciiTheme="minorEastAsia" w:hAnsiTheme="minorEastAsia" w:eastAsiaTheme="minorEastAsia" w:cstheme="minorEastAsia"/>
          <w:kern w:val="2"/>
          <w:sz w:val="21"/>
          <w:szCs w:val="21"/>
          <w:lang w:val="en-US" w:eastAsia="zh-CN" w:bidi="ar-SA"/>
        </w:rPr>
        <w:t>提交投</w:t>
      </w:r>
      <w:r>
        <w:rPr>
          <w:rFonts w:hint="eastAsia" w:asciiTheme="minorEastAsia" w:hAnsiTheme="minorEastAsia" w:eastAsiaTheme="minorEastAsia" w:cstheme="minorEastAsia"/>
          <w:color w:val="auto"/>
          <w:kern w:val="2"/>
          <w:sz w:val="21"/>
          <w:szCs w:val="21"/>
          <w:lang w:val="en-US" w:eastAsia="zh-CN" w:bidi="ar-SA"/>
        </w:rPr>
        <w:t>标文件截止时间：</w:t>
      </w:r>
      <w:r>
        <w:rPr>
          <w:rFonts w:hint="eastAsia" w:asciiTheme="minorEastAsia" w:hAnsiTheme="minorEastAsia" w:cstheme="minorEastAsia"/>
          <w:color w:val="auto"/>
          <w:kern w:val="2"/>
          <w:sz w:val="21"/>
          <w:szCs w:val="21"/>
          <w:lang w:val="en-US" w:eastAsia="zh-CN" w:bidi="ar-SA"/>
        </w:rPr>
        <w:t>2025</w:t>
      </w:r>
      <w:r>
        <w:rPr>
          <w:rFonts w:hint="eastAsia" w:asciiTheme="minorEastAsia" w:hAnsiTheme="minorEastAsia" w:eastAsiaTheme="minorEastAsia" w:cstheme="minorEastAsia"/>
          <w:color w:val="auto"/>
          <w:kern w:val="2"/>
          <w:sz w:val="21"/>
          <w:szCs w:val="21"/>
          <w:lang w:val="en-US" w:eastAsia="zh-CN" w:bidi="ar-SA"/>
        </w:rPr>
        <w:t>年</w:t>
      </w:r>
      <w:r>
        <w:rPr>
          <w:rFonts w:hint="eastAsia" w:asciiTheme="minorEastAsia" w:hAnsiTheme="minorEastAsia" w:cstheme="minorEastAsia"/>
          <w:color w:val="auto"/>
          <w:kern w:val="2"/>
          <w:sz w:val="21"/>
          <w:szCs w:val="21"/>
          <w:lang w:val="en-US" w:eastAsia="zh-CN" w:bidi="ar-SA"/>
        </w:rPr>
        <w:t>9</w:t>
      </w:r>
      <w:r>
        <w:rPr>
          <w:rFonts w:hint="eastAsia" w:asciiTheme="minorEastAsia" w:hAnsiTheme="minorEastAsia" w:eastAsiaTheme="minorEastAsia" w:cstheme="minorEastAsia"/>
          <w:color w:val="auto"/>
          <w:kern w:val="2"/>
          <w:sz w:val="21"/>
          <w:szCs w:val="21"/>
          <w:lang w:val="en-US" w:eastAsia="zh-CN" w:bidi="ar-SA"/>
        </w:rPr>
        <w:t>月</w:t>
      </w:r>
      <w:r>
        <w:rPr>
          <w:rFonts w:hint="eastAsia" w:asciiTheme="minorEastAsia" w:hAnsiTheme="minorEastAsia" w:cstheme="minorEastAsia"/>
          <w:color w:val="auto"/>
          <w:kern w:val="2"/>
          <w:sz w:val="21"/>
          <w:szCs w:val="21"/>
          <w:lang w:val="en-US" w:eastAsia="zh-CN" w:bidi="ar-SA"/>
        </w:rPr>
        <w:t>11</w:t>
      </w:r>
      <w:r>
        <w:rPr>
          <w:rFonts w:hint="eastAsia" w:asciiTheme="minorEastAsia" w:hAnsiTheme="minorEastAsia" w:eastAsiaTheme="minorEastAsia" w:cstheme="minorEastAsia"/>
          <w:color w:val="auto"/>
          <w:kern w:val="2"/>
          <w:sz w:val="21"/>
          <w:szCs w:val="21"/>
          <w:lang w:val="en-US" w:eastAsia="zh-CN" w:bidi="ar-SA"/>
        </w:rPr>
        <w:t>日</w:t>
      </w:r>
      <w:r>
        <w:rPr>
          <w:rFonts w:hint="eastAsia" w:asciiTheme="minorEastAsia" w:hAnsiTheme="minorEastAsia" w:cstheme="minorEastAsia"/>
          <w:color w:val="auto"/>
          <w:kern w:val="2"/>
          <w:sz w:val="21"/>
          <w:szCs w:val="21"/>
          <w:lang w:val="en-US" w:eastAsia="zh-CN" w:bidi="ar-SA"/>
        </w:rPr>
        <w:t>上</w:t>
      </w:r>
      <w:r>
        <w:rPr>
          <w:rFonts w:hint="eastAsia" w:asciiTheme="minorEastAsia" w:hAnsiTheme="minorEastAsia" w:eastAsiaTheme="minorEastAsia" w:cstheme="minorEastAsia"/>
          <w:color w:val="auto"/>
          <w:kern w:val="2"/>
          <w:sz w:val="21"/>
          <w:szCs w:val="21"/>
          <w:lang w:val="en-US" w:eastAsia="zh-CN" w:bidi="ar-SA"/>
        </w:rPr>
        <w:t>午</w:t>
      </w:r>
      <w:r>
        <w:rPr>
          <w:rFonts w:hint="eastAsia" w:asciiTheme="minorEastAsia" w:hAnsiTheme="minorEastAsia" w:cstheme="minorEastAsia"/>
          <w:color w:val="auto"/>
          <w:kern w:val="2"/>
          <w:sz w:val="21"/>
          <w:szCs w:val="21"/>
          <w:lang w:val="en-US" w:eastAsia="zh-CN" w:bidi="ar-SA"/>
        </w:rPr>
        <w:t>11</w:t>
      </w:r>
      <w:r>
        <w:rPr>
          <w:rFonts w:hint="eastAsia" w:asciiTheme="minorEastAsia" w:hAnsiTheme="minorEastAsia" w:eastAsiaTheme="minorEastAsia" w:cstheme="minorEastAsia"/>
          <w:color w:val="auto"/>
          <w:kern w:val="2"/>
          <w:sz w:val="21"/>
          <w:szCs w:val="21"/>
          <w:lang w:val="en-US" w:eastAsia="zh-CN" w:bidi="ar-SA"/>
        </w:rPr>
        <w:t>：</w:t>
      </w:r>
      <w:r>
        <w:rPr>
          <w:rFonts w:hint="eastAsia" w:asciiTheme="minorEastAsia" w:hAnsiTheme="minorEastAsia" w:cstheme="minorEastAsia"/>
          <w:color w:val="auto"/>
          <w:kern w:val="2"/>
          <w:sz w:val="21"/>
          <w:szCs w:val="21"/>
          <w:lang w:val="en-US" w:eastAsia="zh-CN" w:bidi="ar-SA"/>
        </w:rPr>
        <w:t>00</w:t>
      </w:r>
      <w:r>
        <w:rPr>
          <w:rFonts w:hint="eastAsia" w:asciiTheme="minorEastAsia" w:hAnsiTheme="minorEastAsia" w:eastAsiaTheme="minorEastAsia" w:cstheme="minorEastAsia"/>
          <w:color w:val="auto"/>
          <w:kern w:val="2"/>
          <w:sz w:val="21"/>
          <w:szCs w:val="21"/>
          <w:lang w:val="en-US" w:eastAsia="zh-CN" w:bidi="ar-SA"/>
        </w:rPr>
        <w:t>（北京时间）</w:t>
      </w:r>
      <w:r>
        <w:rPr>
          <w:rFonts w:hint="eastAsia" w:asciiTheme="minorEastAsia" w:hAnsiTheme="minorEastAsia" w:eastAsiaTheme="minorEastAsia" w:cstheme="minorEastAsia"/>
          <w:color w:val="auto"/>
          <w:kern w:val="2"/>
          <w:sz w:val="21"/>
          <w:szCs w:val="21"/>
          <w:lang w:val="en-US" w:eastAsia="zh-CN" w:bidi="ar-SA"/>
        </w:rPr>
        <w:br w:type="textWrapping"/>
      </w:r>
      <w:r>
        <w:rPr>
          <w:rFonts w:hint="eastAsia" w:asciiTheme="minorEastAsia" w:hAnsiTheme="minorEastAsia" w:cstheme="minorEastAsia"/>
          <w:color w:val="auto"/>
          <w:kern w:val="2"/>
          <w:sz w:val="21"/>
          <w:szCs w:val="21"/>
          <w:lang w:val="en-US" w:eastAsia="zh-CN" w:bidi="ar-SA"/>
        </w:rPr>
        <w:t>2、</w:t>
      </w:r>
      <w:r>
        <w:rPr>
          <w:rFonts w:hint="eastAsia" w:asciiTheme="minorEastAsia" w:hAnsiTheme="minorEastAsia" w:eastAsiaTheme="minorEastAsia" w:cstheme="minorEastAsia"/>
          <w:color w:val="auto"/>
          <w:kern w:val="2"/>
          <w:sz w:val="21"/>
          <w:szCs w:val="21"/>
          <w:lang w:val="en-US" w:eastAsia="zh-CN" w:bidi="ar-SA"/>
        </w:rPr>
        <w:t>开标时间：</w:t>
      </w:r>
      <w:r>
        <w:rPr>
          <w:rFonts w:hint="eastAsia" w:asciiTheme="minorEastAsia" w:hAnsiTheme="minorEastAsia" w:cstheme="minorEastAsia"/>
          <w:color w:val="auto"/>
          <w:kern w:val="2"/>
          <w:sz w:val="21"/>
          <w:szCs w:val="21"/>
          <w:lang w:val="en-US" w:eastAsia="zh-CN" w:bidi="ar-SA"/>
        </w:rPr>
        <w:t>2025</w:t>
      </w:r>
      <w:r>
        <w:rPr>
          <w:rFonts w:hint="eastAsia" w:asciiTheme="minorEastAsia" w:hAnsiTheme="minorEastAsia" w:eastAsiaTheme="minorEastAsia" w:cstheme="minorEastAsia"/>
          <w:color w:val="auto"/>
          <w:kern w:val="2"/>
          <w:sz w:val="21"/>
          <w:szCs w:val="21"/>
          <w:lang w:val="en-US" w:eastAsia="zh-CN" w:bidi="ar-SA"/>
        </w:rPr>
        <w:t>年</w:t>
      </w:r>
      <w:r>
        <w:rPr>
          <w:rFonts w:hint="eastAsia" w:asciiTheme="minorEastAsia" w:hAnsiTheme="minorEastAsia" w:cstheme="minorEastAsia"/>
          <w:color w:val="auto"/>
          <w:kern w:val="2"/>
          <w:sz w:val="21"/>
          <w:szCs w:val="21"/>
          <w:lang w:val="en-US" w:eastAsia="zh-CN" w:bidi="ar-SA"/>
        </w:rPr>
        <w:t>9</w:t>
      </w:r>
      <w:r>
        <w:rPr>
          <w:rFonts w:hint="eastAsia" w:asciiTheme="minorEastAsia" w:hAnsiTheme="minorEastAsia" w:eastAsiaTheme="minorEastAsia" w:cstheme="minorEastAsia"/>
          <w:color w:val="auto"/>
          <w:kern w:val="2"/>
          <w:sz w:val="21"/>
          <w:szCs w:val="21"/>
          <w:lang w:val="en-US" w:eastAsia="zh-CN" w:bidi="ar-SA"/>
        </w:rPr>
        <w:t>月</w:t>
      </w:r>
      <w:r>
        <w:rPr>
          <w:rFonts w:hint="eastAsia" w:asciiTheme="minorEastAsia" w:hAnsiTheme="minorEastAsia" w:cstheme="minorEastAsia"/>
          <w:color w:val="auto"/>
          <w:kern w:val="2"/>
          <w:sz w:val="21"/>
          <w:szCs w:val="21"/>
          <w:lang w:val="en-US" w:eastAsia="zh-CN" w:bidi="ar-SA"/>
        </w:rPr>
        <w:t>11</w:t>
      </w:r>
      <w:bookmarkStart w:id="0" w:name="_GoBack"/>
      <w:bookmarkEnd w:id="0"/>
      <w:r>
        <w:rPr>
          <w:rFonts w:hint="eastAsia" w:asciiTheme="minorEastAsia" w:hAnsiTheme="minorEastAsia" w:eastAsiaTheme="minorEastAsia" w:cstheme="minorEastAsia"/>
          <w:color w:val="auto"/>
          <w:kern w:val="2"/>
          <w:sz w:val="21"/>
          <w:szCs w:val="21"/>
          <w:lang w:val="en-US" w:eastAsia="zh-CN" w:bidi="ar-SA"/>
        </w:rPr>
        <w:t>日</w:t>
      </w:r>
      <w:r>
        <w:rPr>
          <w:rFonts w:hint="eastAsia" w:asciiTheme="minorEastAsia" w:hAnsiTheme="minorEastAsia" w:cstheme="minorEastAsia"/>
          <w:color w:val="auto"/>
          <w:kern w:val="2"/>
          <w:sz w:val="21"/>
          <w:szCs w:val="21"/>
          <w:lang w:val="en-US" w:eastAsia="zh-CN" w:bidi="ar-SA"/>
        </w:rPr>
        <w:t>下</w:t>
      </w:r>
      <w:r>
        <w:rPr>
          <w:rFonts w:hint="eastAsia" w:asciiTheme="minorEastAsia" w:hAnsiTheme="minorEastAsia" w:eastAsiaTheme="minorEastAsia" w:cstheme="minorEastAsia"/>
          <w:color w:val="auto"/>
          <w:kern w:val="2"/>
          <w:sz w:val="21"/>
          <w:szCs w:val="21"/>
          <w:lang w:val="en-US" w:eastAsia="zh-CN" w:bidi="ar-SA"/>
        </w:rPr>
        <w:t>午</w:t>
      </w:r>
      <w:r>
        <w:rPr>
          <w:rFonts w:hint="eastAsia" w:asciiTheme="minorEastAsia" w:hAnsiTheme="minorEastAsia" w:cstheme="minorEastAsia"/>
          <w:color w:val="auto"/>
          <w:kern w:val="2"/>
          <w:sz w:val="21"/>
          <w:szCs w:val="21"/>
          <w:lang w:val="en-US" w:eastAsia="zh-CN" w:bidi="ar-SA"/>
        </w:rPr>
        <w:t>14</w:t>
      </w:r>
      <w:r>
        <w:rPr>
          <w:rFonts w:hint="eastAsia" w:asciiTheme="minorEastAsia" w:hAnsiTheme="minorEastAsia" w:eastAsiaTheme="minorEastAsia" w:cstheme="minorEastAsia"/>
          <w:color w:val="auto"/>
          <w:kern w:val="2"/>
          <w:sz w:val="21"/>
          <w:szCs w:val="21"/>
          <w:lang w:val="en-US" w:eastAsia="zh-CN" w:bidi="ar-SA"/>
        </w:rPr>
        <w:t>：</w:t>
      </w:r>
      <w:r>
        <w:rPr>
          <w:rFonts w:hint="eastAsia" w:asciiTheme="minorEastAsia" w:hAnsiTheme="minorEastAsia" w:cstheme="minorEastAsia"/>
          <w:color w:val="auto"/>
          <w:kern w:val="2"/>
          <w:sz w:val="21"/>
          <w:szCs w:val="21"/>
          <w:lang w:val="en-US" w:eastAsia="zh-CN" w:bidi="ar-SA"/>
        </w:rPr>
        <w:t>30</w:t>
      </w:r>
      <w:r>
        <w:rPr>
          <w:rFonts w:hint="eastAsia" w:asciiTheme="minorEastAsia" w:hAnsiTheme="minorEastAsia" w:eastAsiaTheme="minorEastAsia" w:cstheme="minorEastAsia"/>
          <w:color w:val="auto"/>
          <w:kern w:val="2"/>
          <w:sz w:val="21"/>
          <w:szCs w:val="21"/>
          <w:lang w:val="en-US" w:eastAsia="zh-CN" w:bidi="ar-SA"/>
        </w:rPr>
        <w:t>（北京时间）</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3、</w:t>
      </w:r>
      <w:r>
        <w:rPr>
          <w:rFonts w:hint="eastAsia" w:asciiTheme="minorEastAsia" w:hAnsiTheme="minorEastAsia" w:eastAsiaTheme="minorEastAsia" w:cstheme="minorEastAsia"/>
          <w:kern w:val="2"/>
          <w:sz w:val="21"/>
          <w:szCs w:val="21"/>
          <w:lang w:val="en-US" w:eastAsia="zh-CN" w:bidi="ar-SA"/>
        </w:rPr>
        <w:t xml:space="preserve">开标地点：温州市中医院行政楼3楼309会议室 </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4、</w:t>
      </w:r>
      <w:r>
        <w:rPr>
          <w:rFonts w:hint="eastAsia" w:asciiTheme="minorEastAsia" w:hAnsiTheme="minorEastAsia" w:eastAsiaTheme="minorEastAsia" w:cstheme="minorEastAsia"/>
          <w:kern w:val="2"/>
          <w:sz w:val="21"/>
          <w:szCs w:val="21"/>
          <w:lang w:val="en-US" w:eastAsia="zh-CN" w:bidi="ar-SA"/>
        </w:rPr>
        <w:t>包装要求:投标文件的技术资信标、商务（报价）标分别密封于包封袋中，并在封套的封口处加盖投标人单位章，并由法定代表人或其授权代表签字。</w:t>
      </w:r>
    </w:p>
    <w:p>
      <w:pPr>
        <w:rPr>
          <w:rFonts w:hint="eastAsia" w:asciiTheme="minorEastAsia" w:hAnsi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5、</w:t>
      </w:r>
      <w:r>
        <w:rPr>
          <w:rFonts w:hint="eastAsia" w:asciiTheme="minorEastAsia" w:hAnsiTheme="minorEastAsia" w:eastAsiaTheme="minorEastAsia" w:cstheme="minorEastAsia"/>
          <w:kern w:val="2"/>
          <w:sz w:val="21"/>
          <w:szCs w:val="21"/>
          <w:lang w:val="en-US" w:eastAsia="zh-CN" w:bidi="ar-SA"/>
        </w:rPr>
        <w:t>投标方式：接受邮寄和现场投递的纸质投标文件</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6、</w:t>
      </w:r>
      <w:r>
        <w:rPr>
          <w:rFonts w:hint="eastAsia" w:asciiTheme="minorEastAsia" w:hAnsiTheme="minorEastAsia" w:eastAsiaTheme="minorEastAsia" w:cstheme="minorEastAsia"/>
          <w:kern w:val="2"/>
          <w:sz w:val="21"/>
          <w:szCs w:val="21"/>
          <w:lang w:val="en-US" w:eastAsia="zh-CN" w:bidi="ar-SA"/>
        </w:rPr>
        <w:t>其他:招标文件一式三份，一正两副加盖公章</w:t>
      </w:r>
    </w:p>
    <w:p>
      <w:pPr>
        <w:pStyle w:val="8"/>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Style w:val="14"/>
          <w:rFonts w:hint="eastAsia" w:asciiTheme="minorEastAsia" w:hAnsiTheme="minorEastAsia" w:eastAsiaTheme="minorEastAsia" w:cstheme="minorEastAsia"/>
          <w:b/>
          <w:bCs/>
          <w:kern w:val="2"/>
          <w:sz w:val="32"/>
          <w:szCs w:val="32"/>
          <w:lang w:val="en-US" w:eastAsia="zh-CN" w:bidi="ar-SA"/>
        </w:rPr>
      </w:pPr>
      <w:r>
        <w:rPr>
          <w:rStyle w:val="14"/>
          <w:rFonts w:hint="eastAsia" w:asciiTheme="minorEastAsia" w:hAnsiTheme="minorEastAsia" w:eastAsiaTheme="minorEastAsia" w:cstheme="minorEastAsia"/>
          <w:b/>
          <w:bCs/>
          <w:kern w:val="2"/>
          <w:sz w:val="32"/>
          <w:szCs w:val="32"/>
          <w:lang w:val="en-US" w:eastAsia="zh-CN" w:bidi="ar-SA"/>
        </w:rPr>
        <w:t>公告期限 </w:t>
      </w:r>
    </w:p>
    <w:p>
      <w:pPr>
        <w:pStyle w:val="8"/>
        <w:keepNext w:val="0"/>
        <w:keepLines w:val="0"/>
        <w:widowControl/>
        <w:suppressLineNumbers w:val="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自本公告发布之日起5个工作日。</w:t>
      </w:r>
    </w:p>
    <w:p>
      <w:pPr>
        <w:numPr>
          <w:ilvl w:val="0"/>
          <w:numId w:val="1"/>
        </w:numPr>
        <w:ind w:left="0" w:leftChars="0" w:firstLine="0" w:firstLineChars="0"/>
        <w:jc w:val="both"/>
        <w:rPr>
          <w:rFonts w:hint="eastAsia" w:asciiTheme="minorEastAsia" w:hAnsiTheme="minorEastAsia" w:eastAsiaTheme="minorEastAsia" w:cstheme="minorEastAsia"/>
          <w:b/>
          <w:bCs/>
          <w:sz w:val="28"/>
          <w:szCs w:val="28"/>
        </w:rPr>
      </w:pPr>
      <w:r>
        <w:rPr>
          <w:rStyle w:val="14"/>
          <w:rFonts w:hint="eastAsia" w:asciiTheme="minorEastAsia" w:hAnsiTheme="minorEastAsia" w:eastAsiaTheme="minorEastAsia" w:cstheme="minorEastAsia"/>
          <w:b/>
          <w:bCs/>
          <w:kern w:val="2"/>
          <w:sz w:val="32"/>
          <w:szCs w:val="32"/>
          <w:lang w:val="en-US" w:eastAsia="zh-CN" w:bidi="ar-SA"/>
        </w:rPr>
        <w:t>投标文件编制要求</w:t>
      </w:r>
    </w:p>
    <w:p>
      <w:pPr>
        <w:snapToGrid w:val="0"/>
        <w:spacing w:line="360" w:lineRule="auto"/>
        <w:ind w:firstLine="365" w:firstLineChars="174"/>
        <w:jc w:val="left"/>
        <w:outlineLvl w:val="2"/>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（一）投标文件的组成</w:t>
      </w:r>
    </w:p>
    <w:p>
      <w:pPr>
        <w:snapToGrid w:val="0"/>
        <w:spacing w:line="360" w:lineRule="auto"/>
        <w:ind w:firstLine="420" w:firstLineChars="200"/>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投标文件由资格证明文件、商务技术文件和报价文件三部份组成</w:t>
      </w:r>
      <w:r>
        <w:rPr>
          <w:rFonts w:hint="eastAsia" w:asciiTheme="minorEastAsia" w:hAnsiTheme="minorEastAsia" w:eastAsiaTheme="minorEastAsia" w:cstheme="minorEastAsia"/>
          <w:b w:val="0"/>
          <w:bCs/>
          <w:sz w:val="21"/>
          <w:szCs w:val="21"/>
          <w:lang w:eastAsia="zh-CN"/>
        </w:rPr>
        <w:t>。</w:t>
      </w:r>
    </w:p>
    <w:p>
      <w:pPr>
        <w:snapToGrid w:val="0"/>
        <w:spacing w:before="120" w:beforeLines="50" w:line="360" w:lineRule="auto"/>
        <w:ind w:firstLine="411" w:firstLineChars="196"/>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1.资格证明文件：</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（1）投标人资格承诺函；</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（2）法人或者其他组织投标的提供营业执照等证明文件，自然人投标的提供身份证明；</w:t>
      </w:r>
    </w:p>
    <w:p>
      <w:pPr>
        <w:snapToGrid w:val="0"/>
        <w:spacing w:before="120" w:beforeLines="50" w:line="360" w:lineRule="auto"/>
        <w:ind w:firstLine="411" w:firstLineChars="196"/>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 商务技术文件：</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（1）投标人营业执照；</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（2）投标人为医疗器械生产企业的：第二类、第三类医疗器械生产企业提供《医疗器械生产许可证》、第一类医疗器械生产企业提供第一类医疗器械生产备案凭证；</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投标人为医疗器械经营企业的：第三类医疗器械经营企业提供《医疗器械经营许可证》、第二类医疗器械经营企业提供第二类医疗器械经营备案凭证；</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且投标人经备案或许可的经营范围必须包含本次投标的所有医疗器械；</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（3）提供食品药品监督管理部门核发的完整有效的医疗器械注册或备案证明；</w:t>
      </w:r>
    </w:p>
    <w:p>
      <w:pPr>
        <w:snapToGrid w:val="0"/>
        <w:spacing w:line="360" w:lineRule="auto"/>
        <w:ind w:firstLine="411" w:firstLineChars="196"/>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▲（4）货物制造商或其它有销售资格（提供证明材料）的供应商出具的授权书（适用于投标人是进口货物代理商的情形）；</w:t>
      </w:r>
    </w:p>
    <w:p>
      <w:pPr>
        <w:snapToGrid w:val="0"/>
        <w:spacing w:line="360" w:lineRule="auto"/>
        <w:ind w:firstLine="411" w:firstLineChars="196"/>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kern w:val="0"/>
          <w:sz w:val="21"/>
          <w:szCs w:val="21"/>
        </w:rPr>
        <w:t>（5）投标声明函</w:t>
      </w:r>
      <w:r>
        <w:rPr>
          <w:rFonts w:hint="eastAsia" w:asciiTheme="minorEastAsia" w:hAnsiTheme="minorEastAsia" w:eastAsiaTheme="minorEastAsia" w:cstheme="minorEastAsia"/>
          <w:sz w:val="21"/>
          <w:szCs w:val="21"/>
        </w:rPr>
        <w:t>；</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（6）投标产品一览表</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（7）技术响应表；</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（8）合同条款响应承诺</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（9）设备配置清单；</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（10）消耗品或易耗品价格； </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（11）售后服务承诺书</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（12）业绩证明</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（13）投标人建议的安装、调试、验收方法或方案；</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（14）技术服务、技术培训的内容和措施；</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（15）项目实施人员一览表</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（16）维修能力（详见评分标准要求）；</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（17）投标机型的彩页和原厂技术参数；</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18</w:t>
      </w:r>
      <w:r>
        <w:rPr>
          <w:rFonts w:hint="eastAsia" w:asciiTheme="minorEastAsia" w:hAnsiTheme="minorEastAsia" w:eastAsiaTheme="minorEastAsia" w:cstheme="minorEastAsia"/>
          <w:sz w:val="21"/>
          <w:szCs w:val="21"/>
        </w:rPr>
        <w:t>）节能产品的相关证明材料：投标产品列入财政部、发展改革委发布的节能产品品目清单的，提供国家市场监督管理总局公布的《参与实施政府采购节能产品认证机构名录》内的认证机构出具的、处于有效期之内的节能标志产品认证证书；</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19</w:t>
      </w:r>
      <w:r>
        <w:rPr>
          <w:rFonts w:hint="eastAsia" w:asciiTheme="minorEastAsia" w:hAnsiTheme="minorEastAsia" w:eastAsiaTheme="minorEastAsia" w:cstheme="minorEastAsia"/>
          <w:sz w:val="21"/>
          <w:szCs w:val="21"/>
        </w:rPr>
        <w:t>）环境标志产品的相关证明材料：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）评分方法中的评审证明文件等；</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）投标人认为需要提供的其他文件。</w:t>
      </w:r>
    </w:p>
    <w:p>
      <w:pPr>
        <w:snapToGrid w:val="0"/>
        <w:spacing w:line="360" w:lineRule="auto"/>
        <w:ind w:firstLine="413" w:firstLineChars="196"/>
        <w:jc w:val="left"/>
        <w:rPr>
          <w:rFonts w:hint="eastAsia" w:asciiTheme="minorEastAsia" w:hAnsiTheme="minorEastAsia" w:eastAsiaTheme="minorEastAsia" w:cstheme="minorEastAsia"/>
          <w:b/>
          <w:sz w:val="21"/>
          <w:szCs w:val="21"/>
        </w:rPr>
      </w:pPr>
    </w:p>
    <w:p>
      <w:pPr>
        <w:snapToGrid w:val="0"/>
        <w:spacing w:line="360" w:lineRule="auto"/>
        <w:ind w:firstLine="411" w:firstLineChars="196"/>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3.报价文件：</w:t>
      </w:r>
    </w:p>
    <w:p>
      <w:pPr>
        <w:snapToGri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（1）开标一览表；</w:t>
      </w:r>
    </w:p>
    <w:p>
      <w:pPr>
        <w:snapToGri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（2）投标报价明细表；</w:t>
      </w:r>
    </w:p>
    <w:p>
      <w:pPr>
        <w:snapToGri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（3）投标人针对报价需要说明的其他文件和说明（如有）；</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（4）中小企业的相关证明材料（如有</w:t>
      </w:r>
      <w:r>
        <w:rPr>
          <w:rFonts w:hint="eastAsia" w:asciiTheme="minorEastAsia" w:hAnsiTheme="minorEastAsia" w:eastAsiaTheme="minorEastAsia" w:cstheme="minorEastAsia"/>
          <w:kern w:val="0"/>
          <w:sz w:val="21"/>
          <w:szCs w:val="21"/>
        </w:rPr>
        <w:t>）；</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（5）残疾人福利性单位声明函(如有）；</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（6）由省级以上监狱管理局、戒毒管理局（含新疆生产建设兵团）出具的属于监狱企业的证明文件（如有）。</w:t>
      </w:r>
    </w:p>
    <w:p>
      <w:pPr>
        <w:pStyle w:val="8"/>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Style w:val="14"/>
          <w:rFonts w:hint="eastAsia" w:asciiTheme="minorEastAsia" w:hAnsiTheme="minorEastAsia" w:eastAsiaTheme="minorEastAsia" w:cstheme="minorEastAsia"/>
          <w:b/>
          <w:bCs/>
          <w:kern w:val="2"/>
          <w:sz w:val="32"/>
          <w:szCs w:val="32"/>
          <w:lang w:val="en-US" w:eastAsia="zh-CN" w:bidi="ar-SA"/>
        </w:rPr>
      </w:pPr>
      <w:r>
        <w:rPr>
          <w:rStyle w:val="14"/>
          <w:rFonts w:hint="eastAsia" w:asciiTheme="minorEastAsia" w:hAnsiTheme="minorEastAsia" w:eastAsiaTheme="minorEastAsia" w:cstheme="minorEastAsia"/>
          <w:b/>
          <w:bCs/>
          <w:kern w:val="2"/>
          <w:sz w:val="32"/>
          <w:szCs w:val="32"/>
          <w:lang w:val="en-US" w:eastAsia="zh-CN" w:bidi="ar-SA"/>
        </w:rPr>
        <w:t>商务、技术参数偏离表</w:t>
      </w: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70" w:type="dxa"/>
          <w:bottom w:w="0" w:type="dxa"/>
          <w:right w:w="70" w:type="dxa"/>
        </w:tblCellMar>
      </w:tblPr>
      <w:tblGrid>
        <w:gridCol w:w="1436"/>
        <w:gridCol w:w="6601"/>
        <w:gridCol w:w="11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blHeader/>
        </w:trPr>
        <w:tc>
          <w:tcPr>
            <w:tcW w:w="703" w:type="pct"/>
            <w:shd w:val="clear" w:color="auto" w:fill="CCCCCC"/>
            <w:vAlign w:val="center"/>
          </w:tcPr>
          <w:p>
            <w:pPr>
              <w:pStyle w:val="26"/>
              <w:jc w:val="center"/>
              <w:rPr>
                <w:rStyle w:val="25"/>
                <w:rFonts w:ascii="Times New Roman" w:hAnsi="Times New Roman"/>
                <w:bCs w:val="0"/>
                <w:sz w:val="24"/>
                <w:szCs w:val="24"/>
              </w:rPr>
            </w:pPr>
            <w:r>
              <w:rPr>
                <w:rStyle w:val="25"/>
                <w:rFonts w:ascii="Times New Roman" w:hAnsi="宋体"/>
                <w:bCs w:val="0"/>
                <w:sz w:val="24"/>
                <w:szCs w:val="24"/>
              </w:rPr>
              <w:t>序号</w:t>
            </w:r>
          </w:p>
        </w:tc>
        <w:tc>
          <w:tcPr>
            <w:tcW w:w="3621" w:type="pct"/>
            <w:shd w:val="clear" w:color="auto" w:fill="CCCCCC"/>
            <w:vAlign w:val="center"/>
          </w:tcPr>
          <w:p>
            <w:pPr>
              <w:pStyle w:val="26"/>
              <w:jc w:val="center"/>
              <w:rPr>
                <w:rStyle w:val="25"/>
                <w:rFonts w:ascii="Times New Roman" w:hAnsi="Times New Roman"/>
                <w:bCs w:val="0"/>
                <w:sz w:val="24"/>
                <w:szCs w:val="24"/>
              </w:rPr>
            </w:pPr>
            <w:r>
              <w:rPr>
                <w:rStyle w:val="25"/>
                <w:rFonts w:ascii="Times New Roman" w:hAnsi="宋体"/>
                <w:bCs w:val="0"/>
                <w:sz w:val="24"/>
                <w:szCs w:val="24"/>
              </w:rPr>
              <w:t>招标要求</w:t>
            </w:r>
          </w:p>
        </w:tc>
        <w:tc>
          <w:tcPr>
            <w:tcW w:w="676" w:type="pct"/>
            <w:shd w:val="clear" w:color="auto" w:fill="CCCCCC"/>
            <w:vAlign w:val="center"/>
          </w:tcPr>
          <w:p>
            <w:pPr>
              <w:pStyle w:val="26"/>
              <w:jc w:val="center"/>
              <w:rPr>
                <w:rStyle w:val="25"/>
                <w:rFonts w:ascii="Times New Roman" w:hAnsi="Times New Roman"/>
                <w:bCs w:val="0"/>
                <w:sz w:val="24"/>
                <w:szCs w:val="24"/>
              </w:rPr>
            </w:pPr>
            <w:r>
              <w:rPr>
                <w:rStyle w:val="25"/>
                <w:rFonts w:ascii="Times New Roman" w:hAnsi="宋体"/>
                <w:bCs w:val="0"/>
                <w:sz w:val="24"/>
                <w:szCs w:val="24"/>
              </w:rPr>
              <w:t>投标响应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widowControl/>
              <w:jc w:val="center"/>
              <w:rPr>
                <w:b/>
                <w:bCs/>
                <w:sz w:val="24"/>
              </w:rPr>
            </w:pPr>
            <w:r>
              <w:rPr>
                <w:rFonts w:hAnsi="宋体"/>
                <w:b/>
                <w:bCs/>
                <w:sz w:val="24"/>
              </w:rPr>
              <w:t>一</w:t>
            </w:r>
          </w:p>
        </w:tc>
        <w:tc>
          <w:tcPr>
            <w:tcW w:w="3621" w:type="pct"/>
            <w:vAlign w:val="center"/>
          </w:tcPr>
          <w:p>
            <w:pPr>
              <w:widowControl/>
              <w:jc w:val="left"/>
              <w:rPr>
                <w:b/>
                <w:bCs/>
                <w:color w:val="000000"/>
                <w:sz w:val="24"/>
                <w:lang w:bidi="ar"/>
              </w:rPr>
            </w:pPr>
            <w:r>
              <w:rPr>
                <w:rFonts w:eastAsia="新宋体"/>
                <w:b/>
                <w:bCs/>
                <w:color w:val="000000"/>
                <w:sz w:val="22"/>
                <w:szCs w:val="22"/>
                <w:lang w:bidi="ar"/>
              </w:rPr>
              <w:t>技术参数要求</w:t>
            </w:r>
          </w:p>
        </w:tc>
        <w:tc>
          <w:tcPr>
            <w:tcW w:w="676" w:type="pct"/>
            <w:vAlign w:val="center"/>
          </w:tcPr>
          <w:p>
            <w:pPr>
              <w:pStyle w:val="26"/>
              <w:rPr>
                <w:rStyle w:val="25"/>
                <w:rFonts w:ascii="Times New Roman" w:hAnsi="Times New Roman"/>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widowControl/>
              <w:spacing w:line="360" w:lineRule="auto"/>
              <w:jc w:val="center"/>
              <w:rPr>
                <w:color w:val="000000"/>
                <w:sz w:val="24"/>
              </w:rPr>
            </w:pPr>
            <w:r>
              <w:rPr>
                <w:rFonts w:hint="eastAsia" w:ascii="宋体" w:hAnsi="宋体" w:cs="宋体"/>
                <w:b/>
                <w:szCs w:val="21"/>
              </w:rPr>
              <w:t>1.1</w:t>
            </w:r>
          </w:p>
        </w:tc>
        <w:tc>
          <w:tcPr>
            <w:tcW w:w="3621" w:type="pct"/>
          </w:tcPr>
          <w:p>
            <w:pPr>
              <w:pStyle w:val="20"/>
              <w:ind w:firstLine="0" w:firstLineChars="0"/>
              <w:jc w:val="left"/>
              <w:rPr>
                <w:color w:val="000000"/>
                <w:sz w:val="24"/>
              </w:rPr>
            </w:pPr>
            <w:r>
              <w:rPr>
                <w:rFonts w:hint="eastAsia" w:ascii="宋体" w:hAnsi="宋体"/>
                <w:b/>
                <w:szCs w:val="21"/>
              </w:rPr>
              <w:t>用途</w:t>
            </w:r>
            <w:r>
              <w:rPr>
                <w:rFonts w:ascii="宋体" w:hAnsi="宋体"/>
                <w:b/>
                <w:szCs w:val="21"/>
              </w:rPr>
              <w:t>：</w:t>
            </w:r>
            <w:r>
              <w:rPr>
                <w:rFonts w:hint="eastAsia" w:ascii="宋体" w:hAnsi="宋体"/>
                <w:b/>
                <w:szCs w:val="21"/>
              </w:rPr>
              <w:t>用于石蜡包埋组织切片制作</w:t>
            </w:r>
          </w:p>
        </w:tc>
        <w:tc>
          <w:tcPr>
            <w:tcW w:w="676" w:type="pct"/>
            <w:vAlign w:val="center"/>
          </w:tcPr>
          <w:p>
            <w:pPr>
              <w:widowControl/>
              <w:spacing w:line="360" w:lineRule="auto"/>
              <w:jc w:val="center"/>
              <w:rPr>
                <w:rStyle w:val="25"/>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widowControl/>
              <w:spacing w:line="360" w:lineRule="auto"/>
              <w:jc w:val="center"/>
              <w:rPr>
                <w:color w:val="000000"/>
                <w:sz w:val="24"/>
              </w:rPr>
            </w:pPr>
            <w:r>
              <w:rPr>
                <w:rFonts w:hint="eastAsia" w:ascii="宋体" w:hAnsi="宋体" w:cs="宋体"/>
                <w:b/>
                <w:szCs w:val="21"/>
              </w:rPr>
              <w:t>1.2</w:t>
            </w:r>
          </w:p>
        </w:tc>
        <w:tc>
          <w:tcPr>
            <w:tcW w:w="3621" w:type="pct"/>
            <w:vAlign w:val="center"/>
          </w:tcPr>
          <w:p>
            <w:pPr>
              <w:widowControl/>
              <w:spacing w:line="360" w:lineRule="auto"/>
              <w:rPr>
                <w:color w:val="000000"/>
                <w:sz w:val="24"/>
              </w:rPr>
            </w:pPr>
            <w:r>
              <w:rPr>
                <w:rFonts w:hint="eastAsia" w:ascii="宋体" w:hAnsi="宋体" w:cs="宋体"/>
                <w:b/>
                <w:szCs w:val="21"/>
              </w:rPr>
              <w:t>主要技术规格及系统概述：</w:t>
            </w:r>
          </w:p>
        </w:tc>
        <w:tc>
          <w:tcPr>
            <w:tcW w:w="676" w:type="pct"/>
            <w:vAlign w:val="center"/>
          </w:tcPr>
          <w:p>
            <w:pPr>
              <w:widowControl/>
              <w:spacing w:line="360" w:lineRule="auto"/>
              <w:jc w:val="center"/>
              <w:rPr>
                <w:rStyle w:val="25"/>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jc w:val="center"/>
              <w:rPr>
                <w:color w:val="000000"/>
                <w:sz w:val="24"/>
              </w:rPr>
            </w:pPr>
            <w:r>
              <w:rPr>
                <w:rFonts w:hint="eastAsia" w:ascii="宋体" w:hAnsi="宋体" w:cs="宋体"/>
                <w:b/>
                <w:bCs/>
                <w:szCs w:val="21"/>
              </w:rPr>
              <w:t>1.2.1</w:t>
            </w:r>
            <w:r>
              <w:rPr>
                <w:rFonts w:hint="eastAsia" w:ascii="宋体" w:hAnsi="宋体" w:cs="宋体"/>
                <w:szCs w:val="21"/>
              </w:rPr>
              <w:t>▲</w:t>
            </w:r>
          </w:p>
        </w:tc>
        <w:tc>
          <w:tcPr>
            <w:tcW w:w="3621" w:type="pct"/>
            <w:vAlign w:val="center"/>
          </w:tcPr>
          <w:p>
            <w:pPr>
              <w:pStyle w:val="20"/>
              <w:ind w:firstLine="0" w:firstLineChars="0"/>
              <w:jc w:val="left"/>
              <w:rPr>
                <w:rFonts w:ascii="宋体" w:hAnsi="宋体"/>
                <w:bCs/>
                <w:szCs w:val="21"/>
              </w:rPr>
            </w:pPr>
            <w:r>
              <w:rPr>
                <w:rFonts w:hint="eastAsia" w:ascii="宋体" w:hAnsi="宋体"/>
                <w:bCs/>
                <w:szCs w:val="21"/>
              </w:rPr>
              <w:t>半自动石蜡切片机。进样方式：步进电机进样</w:t>
            </w:r>
          </w:p>
        </w:tc>
        <w:tc>
          <w:tcPr>
            <w:tcW w:w="676" w:type="pct"/>
            <w:vAlign w:val="center"/>
          </w:tcPr>
          <w:p>
            <w:pPr>
              <w:widowControl/>
              <w:spacing w:line="360" w:lineRule="auto"/>
              <w:jc w:val="center"/>
              <w:rPr>
                <w:rStyle w:val="25"/>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jc w:val="center"/>
              <w:rPr>
                <w:rFonts w:hint="eastAsia" w:ascii="宋体" w:hAnsi="宋体" w:cs="宋体"/>
                <w:b/>
                <w:bCs/>
                <w:szCs w:val="21"/>
              </w:rPr>
            </w:pPr>
            <w:r>
              <w:rPr>
                <w:rFonts w:hint="eastAsia" w:ascii="宋体" w:hAnsi="宋体" w:cs="宋体"/>
                <w:b/>
                <w:bCs/>
                <w:szCs w:val="21"/>
              </w:rPr>
              <w:t>1.2.2</w:t>
            </w:r>
            <w:r>
              <w:rPr>
                <w:rFonts w:hint="eastAsia" w:ascii="宋体" w:hAnsi="宋体" w:cs="仿宋_GB2312"/>
                <w:szCs w:val="21"/>
              </w:rPr>
              <w:t>★</w:t>
            </w:r>
          </w:p>
        </w:tc>
        <w:tc>
          <w:tcPr>
            <w:tcW w:w="3621" w:type="pct"/>
            <w:vAlign w:val="center"/>
          </w:tcPr>
          <w:p>
            <w:pPr>
              <w:pStyle w:val="20"/>
              <w:ind w:firstLine="0" w:firstLineChars="0"/>
              <w:jc w:val="left"/>
              <w:rPr>
                <w:rFonts w:ascii="宋体" w:hAnsi="宋体"/>
                <w:bCs/>
                <w:szCs w:val="21"/>
              </w:rPr>
            </w:pPr>
            <w:r>
              <w:rPr>
                <w:rFonts w:hint="eastAsia" w:ascii="宋体" w:hAnsi="宋体"/>
                <w:bCs/>
                <w:szCs w:val="21"/>
              </w:rPr>
              <w:t>样品尺寸要求：最大可达到50×60×40mm</w:t>
            </w:r>
          </w:p>
        </w:tc>
        <w:tc>
          <w:tcPr>
            <w:tcW w:w="676" w:type="pct"/>
            <w:vAlign w:val="center"/>
          </w:tcPr>
          <w:p>
            <w:pPr>
              <w:widowControl/>
              <w:spacing w:line="360" w:lineRule="auto"/>
              <w:jc w:val="center"/>
              <w:rPr>
                <w:rStyle w:val="25"/>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jc w:val="center"/>
              <w:rPr>
                <w:rFonts w:hint="eastAsia" w:ascii="宋体" w:hAnsi="宋体" w:cs="宋体"/>
                <w:b/>
                <w:bCs/>
                <w:szCs w:val="21"/>
              </w:rPr>
            </w:pPr>
            <w:r>
              <w:rPr>
                <w:rFonts w:hint="eastAsia" w:ascii="宋体" w:hAnsi="宋体" w:cs="宋体"/>
                <w:b/>
                <w:bCs/>
                <w:szCs w:val="21"/>
              </w:rPr>
              <w:t>1.2.3</w:t>
            </w:r>
          </w:p>
        </w:tc>
        <w:tc>
          <w:tcPr>
            <w:tcW w:w="3621" w:type="pct"/>
            <w:vAlign w:val="center"/>
          </w:tcPr>
          <w:p>
            <w:pPr>
              <w:pStyle w:val="20"/>
              <w:ind w:firstLine="0" w:firstLineChars="0"/>
              <w:jc w:val="left"/>
              <w:rPr>
                <w:rFonts w:ascii="宋体" w:hAnsi="宋体"/>
                <w:bCs/>
                <w:szCs w:val="21"/>
              </w:rPr>
            </w:pPr>
            <w:r>
              <w:rPr>
                <w:rFonts w:hint="eastAsia" w:ascii="宋体" w:hAnsi="宋体"/>
                <w:bCs/>
                <w:szCs w:val="21"/>
              </w:rPr>
              <w:t>具有样品回缩功能，5-100μm可调，以5μm递进，可开关</w:t>
            </w:r>
          </w:p>
        </w:tc>
        <w:tc>
          <w:tcPr>
            <w:tcW w:w="676" w:type="pct"/>
            <w:vAlign w:val="center"/>
          </w:tcPr>
          <w:p>
            <w:pPr>
              <w:widowControl/>
              <w:spacing w:line="360" w:lineRule="auto"/>
              <w:jc w:val="center"/>
              <w:rPr>
                <w:rStyle w:val="25"/>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center"/>
              <w:rPr>
                <w:rFonts w:hint="eastAsia" w:ascii="宋体" w:hAnsi="宋体" w:cs="宋体"/>
                <w:b/>
                <w:szCs w:val="21"/>
              </w:rPr>
            </w:pPr>
            <w:r>
              <w:rPr>
                <w:rFonts w:hint="eastAsia" w:ascii="宋体" w:hAnsi="宋体" w:cs="宋体"/>
                <w:b/>
                <w:bCs/>
                <w:szCs w:val="21"/>
              </w:rPr>
              <w:t>1.2.4</w:t>
            </w:r>
            <w:r>
              <w:rPr>
                <w:rFonts w:hint="eastAsia" w:ascii="宋体" w:hAnsi="宋体" w:cs="仿宋_GB2312"/>
                <w:szCs w:val="21"/>
              </w:rPr>
              <w:t>★</w:t>
            </w:r>
          </w:p>
        </w:tc>
        <w:tc>
          <w:tcPr>
            <w:tcW w:w="3621" w:type="pct"/>
            <w:vAlign w:val="center"/>
          </w:tcPr>
          <w:p>
            <w:pPr>
              <w:pStyle w:val="20"/>
              <w:ind w:firstLine="0" w:firstLineChars="0"/>
              <w:jc w:val="left"/>
              <w:rPr>
                <w:rFonts w:hint="eastAsia" w:ascii="宋体" w:hAnsi="宋体"/>
                <w:bCs/>
                <w:szCs w:val="21"/>
              </w:rPr>
            </w:pPr>
            <w:r>
              <w:rPr>
                <w:rFonts w:hint="eastAsia" w:ascii="宋体" w:hAnsi="宋体"/>
                <w:bCs/>
                <w:szCs w:val="21"/>
              </w:rPr>
              <w:t>样品水平进样距离≥30mm</w:t>
            </w:r>
          </w:p>
        </w:tc>
        <w:tc>
          <w:tcPr>
            <w:tcW w:w="676" w:type="pct"/>
            <w:vAlign w:val="center"/>
          </w:tcPr>
          <w:p>
            <w:pPr>
              <w:widowControl/>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center"/>
              <w:rPr>
                <w:rFonts w:hint="eastAsia" w:ascii="宋体" w:hAnsi="宋体" w:cs="宋体"/>
                <w:szCs w:val="21"/>
              </w:rPr>
            </w:pPr>
            <w:r>
              <w:rPr>
                <w:rFonts w:hint="eastAsia" w:ascii="宋体" w:hAnsi="宋体" w:cs="宋体"/>
                <w:b/>
                <w:bCs/>
                <w:szCs w:val="21"/>
              </w:rPr>
              <w:t>1.2.5</w:t>
            </w:r>
          </w:p>
        </w:tc>
        <w:tc>
          <w:tcPr>
            <w:tcW w:w="3621" w:type="pct"/>
            <w:vAlign w:val="center"/>
          </w:tcPr>
          <w:p>
            <w:pPr>
              <w:pStyle w:val="20"/>
              <w:ind w:firstLine="0" w:firstLineChars="0"/>
              <w:jc w:val="left"/>
              <w:rPr>
                <w:rFonts w:hint="eastAsia" w:ascii="宋体" w:hAnsi="宋体"/>
                <w:bCs/>
                <w:szCs w:val="21"/>
              </w:rPr>
            </w:pPr>
            <w:r>
              <w:rPr>
                <w:rFonts w:hint="eastAsia" w:ascii="宋体" w:hAnsi="宋体"/>
                <w:bCs/>
                <w:szCs w:val="21"/>
              </w:rPr>
              <w:t>垂直移动距离≥70mm</w:t>
            </w:r>
          </w:p>
        </w:tc>
        <w:tc>
          <w:tcPr>
            <w:tcW w:w="676" w:type="pct"/>
            <w:vAlign w:val="center"/>
          </w:tcPr>
          <w:p>
            <w:pPr>
              <w:widowControl/>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center"/>
              <w:rPr>
                <w:rFonts w:hint="eastAsia" w:ascii="宋体" w:hAnsi="宋体" w:cs="宋体"/>
                <w:szCs w:val="21"/>
              </w:rPr>
            </w:pPr>
            <w:r>
              <w:rPr>
                <w:rFonts w:hint="eastAsia" w:ascii="宋体" w:hAnsi="宋体" w:cs="宋体"/>
                <w:b/>
                <w:bCs/>
                <w:szCs w:val="21"/>
              </w:rPr>
              <w:t>1.2.6</w:t>
            </w:r>
          </w:p>
        </w:tc>
        <w:tc>
          <w:tcPr>
            <w:tcW w:w="3621" w:type="pct"/>
            <w:vAlign w:val="center"/>
          </w:tcPr>
          <w:p>
            <w:pPr>
              <w:pStyle w:val="20"/>
              <w:ind w:firstLine="0" w:firstLineChars="0"/>
              <w:jc w:val="left"/>
              <w:rPr>
                <w:rFonts w:hint="eastAsia" w:ascii="宋体" w:hAnsi="宋体"/>
                <w:bCs/>
                <w:szCs w:val="21"/>
              </w:rPr>
            </w:pPr>
            <w:r>
              <w:rPr>
                <w:rFonts w:hint="eastAsia" w:ascii="宋体" w:hAnsi="宋体"/>
                <w:bCs/>
                <w:szCs w:val="21"/>
              </w:rPr>
              <w:t>切片厚度范围：0.5μm～100μm可调</w:t>
            </w:r>
          </w:p>
        </w:tc>
        <w:tc>
          <w:tcPr>
            <w:tcW w:w="676" w:type="pct"/>
            <w:vAlign w:val="center"/>
          </w:tcPr>
          <w:p>
            <w:pPr>
              <w:widowControl/>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center"/>
              <w:rPr>
                <w:rFonts w:hint="eastAsia" w:ascii="宋体" w:hAnsi="宋体" w:cs="宋体"/>
                <w:szCs w:val="21"/>
              </w:rPr>
            </w:pPr>
            <w:r>
              <w:rPr>
                <w:rFonts w:hint="eastAsia" w:ascii="宋体" w:hAnsi="宋体" w:cs="宋体"/>
                <w:b/>
                <w:bCs/>
                <w:szCs w:val="21"/>
              </w:rPr>
              <w:t>1.2.7</w:t>
            </w:r>
          </w:p>
        </w:tc>
        <w:tc>
          <w:tcPr>
            <w:tcW w:w="3621" w:type="pct"/>
            <w:vAlign w:val="center"/>
          </w:tcPr>
          <w:p>
            <w:pPr>
              <w:pStyle w:val="20"/>
              <w:ind w:firstLine="0" w:firstLineChars="0"/>
              <w:jc w:val="left"/>
              <w:rPr>
                <w:rFonts w:hint="eastAsia" w:ascii="宋体" w:hAnsi="宋体"/>
                <w:bCs/>
                <w:szCs w:val="21"/>
              </w:rPr>
            </w:pPr>
            <w:r>
              <w:rPr>
                <w:rFonts w:hint="eastAsia" w:ascii="宋体" w:hAnsi="宋体"/>
                <w:bCs/>
                <w:szCs w:val="21"/>
              </w:rPr>
              <w:t>样品修块厚度设定范围：1-600μm</w:t>
            </w:r>
          </w:p>
        </w:tc>
        <w:tc>
          <w:tcPr>
            <w:tcW w:w="676" w:type="pct"/>
            <w:vAlign w:val="center"/>
          </w:tcPr>
          <w:p>
            <w:pPr>
              <w:widowControl/>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center"/>
              <w:rPr>
                <w:rFonts w:hint="eastAsia" w:ascii="宋体" w:hAnsi="宋体" w:cs="宋体"/>
                <w:szCs w:val="21"/>
              </w:rPr>
            </w:pPr>
            <w:r>
              <w:rPr>
                <w:rFonts w:hint="eastAsia" w:ascii="宋体" w:hAnsi="宋体" w:cs="宋体"/>
                <w:b/>
                <w:bCs/>
                <w:szCs w:val="21"/>
              </w:rPr>
              <w:t>1.2.8</w:t>
            </w:r>
            <w:r>
              <w:rPr>
                <w:rFonts w:hint="eastAsia" w:ascii="宋体" w:hAnsi="宋体" w:cs="仿宋_GB2312"/>
                <w:szCs w:val="21"/>
              </w:rPr>
              <w:t>★</w:t>
            </w:r>
          </w:p>
        </w:tc>
        <w:tc>
          <w:tcPr>
            <w:tcW w:w="3621" w:type="pct"/>
            <w:vAlign w:val="center"/>
          </w:tcPr>
          <w:p>
            <w:pPr>
              <w:pStyle w:val="20"/>
              <w:ind w:firstLine="0" w:firstLineChars="0"/>
              <w:jc w:val="left"/>
              <w:rPr>
                <w:rFonts w:hint="eastAsia" w:ascii="宋体" w:hAnsi="宋体"/>
                <w:bCs/>
                <w:szCs w:val="21"/>
              </w:rPr>
            </w:pPr>
            <w:r>
              <w:rPr>
                <w:rFonts w:hint="eastAsia" w:ascii="宋体" w:hAnsi="宋体"/>
                <w:bCs/>
                <w:szCs w:val="21"/>
              </w:rPr>
              <w:t>双控修片模式:2种(手动小手轮和控制面板按键半自动模式）</w:t>
            </w:r>
          </w:p>
        </w:tc>
        <w:tc>
          <w:tcPr>
            <w:tcW w:w="676" w:type="pct"/>
            <w:vAlign w:val="center"/>
          </w:tcPr>
          <w:p>
            <w:pPr>
              <w:widowControl/>
              <w:spacing w:line="360" w:lineRule="auto"/>
              <w:rPr>
                <w:rFonts w:hint="eastAsia" w:ascii="宋体" w:hAnsi="宋体" w:cs="宋体"/>
                <w:szCs w:val="21"/>
              </w:rPr>
            </w:pPr>
            <w:r>
              <w:rPr>
                <w:rFonts w:hint="eastAsia" w:ascii="宋体" w:hAnsi="宋体" w:cs="宋体"/>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center"/>
              <w:rPr>
                <w:rFonts w:hint="eastAsia" w:ascii="宋体" w:hAnsi="宋体" w:cs="宋体"/>
                <w:szCs w:val="21"/>
              </w:rPr>
            </w:pPr>
            <w:r>
              <w:rPr>
                <w:rFonts w:hint="eastAsia" w:ascii="宋体" w:hAnsi="宋体" w:cs="宋体"/>
                <w:b/>
                <w:bCs/>
                <w:szCs w:val="21"/>
              </w:rPr>
              <w:t>1.2.9</w:t>
            </w:r>
          </w:p>
        </w:tc>
        <w:tc>
          <w:tcPr>
            <w:tcW w:w="3621" w:type="pct"/>
            <w:vAlign w:val="center"/>
          </w:tcPr>
          <w:p>
            <w:pPr>
              <w:pStyle w:val="20"/>
              <w:ind w:firstLine="0" w:firstLineChars="0"/>
              <w:jc w:val="left"/>
              <w:rPr>
                <w:rFonts w:hint="eastAsia" w:ascii="宋体" w:hAnsi="宋体"/>
                <w:bCs/>
                <w:szCs w:val="21"/>
              </w:rPr>
            </w:pPr>
            <w:r>
              <w:rPr>
                <w:rFonts w:hint="eastAsia" w:ascii="宋体" w:hAnsi="宋体"/>
                <w:bCs/>
                <w:szCs w:val="21"/>
              </w:rPr>
              <w:t>电动粗进：20μm\s点动和1000μm\s</w:t>
            </w:r>
          </w:p>
        </w:tc>
        <w:tc>
          <w:tcPr>
            <w:tcW w:w="676" w:type="pct"/>
            <w:vAlign w:val="center"/>
          </w:tcPr>
          <w:p>
            <w:pPr>
              <w:widowControl/>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center"/>
              <w:rPr>
                <w:rFonts w:hint="eastAsia" w:ascii="宋体" w:hAnsi="宋体" w:cs="宋体"/>
                <w:szCs w:val="21"/>
              </w:rPr>
            </w:pPr>
            <w:r>
              <w:rPr>
                <w:rFonts w:hint="eastAsia" w:ascii="宋体" w:hAnsi="宋体" w:cs="宋体"/>
                <w:b/>
                <w:bCs/>
                <w:szCs w:val="21"/>
              </w:rPr>
              <w:t>1.2.10</w:t>
            </w:r>
          </w:p>
        </w:tc>
        <w:tc>
          <w:tcPr>
            <w:tcW w:w="3621" w:type="pct"/>
            <w:vAlign w:val="center"/>
          </w:tcPr>
          <w:p>
            <w:pPr>
              <w:pStyle w:val="20"/>
              <w:ind w:firstLine="0" w:firstLineChars="0"/>
              <w:jc w:val="left"/>
              <w:rPr>
                <w:rFonts w:hint="eastAsia" w:ascii="宋体" w:hAnsi="宋体"/>
                <w:bCs/>
                <w:szCs w:val="21"/>
              </w:rPr>
            </w:pPr>
            <w:r>
              <w:rPr>
                <w:rFonts w:hint="eastAsia" w:ascii="宋体" w:hAnsi="宋体"/>
                <w:bCs/>
                <w:szCs w:val="21"/>
              </w:rPr>
              <w:t>样本调节方向：垂直8度可调，水平8度可调</w:t>
            </w:r>
          </w:p>
        </w:tc>
        <w:tc>
          <w:tcPr>
            <w:tcW w:w="676" w:type="pct"/>
            <w:vAlign w:val="center"/>
          </w:tcPr>
          <w:p>
            <w:pPr>
              <w:widowControl/>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center"/>
              <w:rPr>
                <w:rFonts w:hint="eastAsia" w:ascii="宋体" w:hAnsi="宋体" w:cs="宋体"/>
                <w:szCs w:val="21"/>
              </w:rPr>
            </w:pPr>
            <w:r>
              <w:rPr>
                <w:rFonts w:hint="eastAsia" w:ascii="宋体" w:hAnsi="宋体" w:cs="宋体"/>
                <w:b/>
                <w:bCs/>
                <w:szCs w:val="21"/>
              </w:rPr>
              <w:t>1.2.11</w:t>
            </w:r>
          </w:p>
        </w:tc>
        <w:tc>
          <w:tcPr>
            <w:tcW w:w="3621" w:type="pct"/>
            <w:vAlign w:val="center"/>
          </w:tcPr>
          <w:p>
            <w:pPr>
              <w:pStyle w:val="20"/>
              <w:ind w:firstLine="0" w:firstLineChars="0"/>
              <w:jc w:val="left"/>
              <w:rPr>
                <w:rFonts w:hint="eastAsia" w:ascii="宋体" w:hAnsi="宋体"/>
                <w:bCs/>
                <w:szCs w:val="21"/>
              </w:rPr>
            </w:pPr>
            <w:r>
              <w:rPr>
                <w:rFonts w:hint="eastAsia" w:ascii="宋体" w:hAnsi="宋体"/>
                <w:bCs/>
                <w:szCs w:val="21"/>
              </w:rPr>
              <w:t>快速样品夹可横向、纵向二个方向固定蜡块</w:t>
            </w:r>
          </w:p>
        </w:tc>
        <w:tc>
          <w:tcPr>
            <w:tcW w:w="676" w:type="pct"/>
            <w:vAlign w:val="center"/>
          </w:tcPr>
          <w:p>
            <w:pPr>
              <w:widowControl/>
              <w:spacing w:line="360" w:lineRule="auto"/>
              <w:rPr>
                <w:rFonts w:hint="eastAsia" w:ascii="宋体" w:hAnsi="宋体" w:cs="宋体"/>
                <w:szCs w:val="21"/>
              </w:rPr>
            </w:pPr>
            <w:r>
              <w:rPr>
                <w:rFonts w:hint="eastAsia" w:ascii="宋体" w:hAnsi="宋体" w:cs="宋体"/>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center"/>
              <w:rPr>
                <w:rFonts w:hint="eastAsia" w:ascii="宋体" w:hAnsi="宋体" w:cs="宋体"/>
                <w:szCs w:val="21"/>
              </w:rPr>
            </w:pPr>
            <w:r>
              <w:rPr>
                <w:rFonts w:hint="eastAsia" w:ascii="宋体" w:hAnsi="宋体" w:cs="宋体"/>
                <w:b/>
                <w:bCs/>
                <w:szCs w:val="21"/>
              </w:rPr>
              <w:t>1.2.12</w:t>
            </w:r>
          </w:p>
        </w:tc>
        <w:tc>
          <w:tcPr>
            <w:tcW w:w="3621" w:type="pct"/>
            <w:vAlign w:val="center"/>
          </w:tcPr>
          <w:p>
            <w:pPr>
              <w:pStyle w:val="20"/>
              <w:ind w:firstLine="0" w:firstLineChars="0"/>
              <w:jc w:val="left"/>
              <w:rPr>
                <w:rFonts w:hint="eastAsia" w:ascii="宋体" w:hAnsi="宋体"/>
                <w:bCs/>
                <w:szCs w:val="21"/>
              </w:rPr>
            </w:pPr>
            <w:r>
              <w:rPr>
                <w:rFonts w:hint="eastAsia" w:ascii="宋体" w:hAnsi="宋体"/>
                <w:bCs/>
                <w:szCs w:val="21"/>
              </w:rPr>
              <w:t>具有O°精确定位系统</w:t>
            </w:r>
          </w:p>
        </w:tc>
        <w:tc>
          <w:tcPr>
            <w:tcW w:w="676" w:type="pct"/>
            <w:vAlign w:val="center"/>
          </w:tcPr>
          <w:p>
            <w:pPr>
              <w:widowControl/>
              <w:spacing w:line="360" w:lineRule="auto"/>
              <w:rPr>
                <w:rFonts w:hint="eastAsia" w:ascii="宋体" w:hAnsi="宋体" w:cs="宋体"/>
                <w:szCs w:val="21"/>
              </w:rPr>
            </w:pPr>
            <w:r>
              <w:rPr>
                <w:rFonts w:hint="eastAsia" w:ascii="宋体" w:hAnsi="宋体" w:cs="宋体"/>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center"/>
              <w:rPr>
                <w:rFonts w:hint="eastAsia" w:ascii="宋体" w:hAnsi="宋体" w:cs="宋体"/>
                <w:szCs w:val="21"/>
              </w:rPr>
            </w:pPr>
            <w:r>
              <w:rPr>
                <w:rFonts w:hint="eastAsia" w:ascii="宋体" w:hAnsi="宋体" w:cs="宋体"/>
                <w:b/>
                <w:bCs/>
                <w:szCs w:val="21"/>
              </w:rPr>
              <w:t>1.2.13</w:t>
            </w:r>
          </w:p>
        </w:tc>
        <w:tc>
          <w:tcPr>
            <w:tcW w:w="3621" w:type="pct"/>
            <w:vAlign w:val="center"/>
          </w:tcPr>
          <w:p>
            <w:pPr>
              <w:pStyle w:val="20"/>
              <w:ind w:firstLine="0" w:firstLineChars="0"/>
              <w:jc w:val="left"/>
              <w:rPr>
                <w:rFonts w:hint="eastAsia" w:ascii="宋体" w:hAnsi="宋体"/>
                <w:bCs/>
                <w:szCs w:val="21"/>
              </w:rPr>
            </w:pPr>
            <w:r>
              <w:rPr>
                <w:rFonts w:hint="eastAsia" w:ascii="宋体" w:hAnsi="宋体"/>
                <w:bCs/>
                <w:szCs w:val="21"/>
              </w:rPr>
              <w:t>配备一次性窄刀片刀架，刀架可方便左右、前后移动，切片时无需移动刀片，刀片全长可用，刀架可通过简便操作使刀架旋转，表面易清洁</w:t>
            </w:r>
          </w:p>
        </w:tc>
        <w:tc>
          <w:tcPr>
            <w:tcW w:w="676" w:type="pct"/>
            <w:vAlign w:val="center"/>
          </w:tcPr>
          <w:p>
            <w:pPr>
              <w:widowControl/>
              <w:spacing w:line="360" w:lineRule="auto"/>
              <w:rPr>
                <w:rFonts w:hint="eastAsia" w:ascii="宋体" w:hAnsi="宋体" w:cs="宋体"/>
                <w:szCs w:val="21"/>
              </w:rPr>
            </w:pPr>
            <w:r>
              <w:rPr>
                <w:rFonts w:hint="eastAsia" w:ascii="宋体" w:hAnsi="宋体" w:cs="宋体"/>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center"/>
              <w:rPr>
                <w:rFonts w:hint="eastAsia" w:ascii="宋体" w:hAnsi="宋体" w:cs="宋体"/>
                <w:szCs w:val="21"/>
              </w:rPr>
            </w:pPr>
            <w:r>
              <w:rPr>
                <w:rFonts w:hint="eastAsia" w:ascii="宋体" w:hAnsi="宋体" w:cs="宋体"/>
                <w:b/>
                <w:bCs/>
                <w:szCs w:val="21"/>
              </w:rPr>
              <w:t>1.2.14</w:t>
            </w:r>
          </w:p>
        </w:tc>
        <w:tc>
          <w:tcPr>
            <w:tcW w:w="3621" w:type="pct"/>
            <w:vAlign w:val="center"/>
          </w:tcPr>
          <w:p>
            <w:pPr>
              <w:pStyle w:val="20"/>
              <w:ind w:firstLine="0" w:firstLineChars="0"/>
              <w:jc w:val="left"/>
              <w:rPr>
                <w:rFonts w:hint="eastAsia" w:ascii="宋体" w:hAnsi="宋体"/>
                <w:bCs/>
                <w:szCs w:val="21"/>
              </w:rPr>
            </w:pPr>
            <w:r>
              <w:rPr>
                <w:rFonts w:hint="eastAsia" w:ascii="宋体" w:hAnsi="宋体"/>
                <w:bCs/>
                <w:szCs w:val="21"/>
              </w:rPr>
              <w:t>刀架底座前后移动距离±24mm</w:t>
            </w:r>
          </w:p>
        </w:tc>
        <w:tc>
          <w:tcPr>
            <w:tcW w:w="676" w:type="pct"/>
            <w:vAlign w:val="center"/>
          </w:tcPr>
          <w:p>
            <w:pPr>
              <w:widowControl/>
              <w:spacing w:line="360" w:lineRule="auto"/>
              <w:rPr>
                <w:rFonts w:hint="eastAsia" w:ascii="宋体" w:hAnsi="宋体" w:cs="宋体"/>
                <w:szCs w:val="21"/>
              </w:rPr>
            </w:pPr>
            <w:r>
              <w:rPr>
                <w:rFonts w:hint="eastAsia" w:ascii="宋体" w:hAnsi="宋体" w:cs="宋体"/>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center"/>
              <w:rPr>
                <w:rFonts w:hint="eastAsia" w:ascii="宋体" w:hAnsi="宋体" w:cs="宋体"/>
                <w:szCs w:val="21"/>
              </w:rPr>
            </w:pPr>
            <w:r>
              <w:rPr>
                <w:rFonts w:hint="eastAsia" w:ascii="宋体" w:hAnsi="宋体" w:cs="宋体"/>
                <w:b/>
                <w:bCs/>
                <w:szCs w:val="21"/>
              </w:rPr>
              <w:t>1.2.15</w:t>
            </w:r>
          </w:p>
        </w:tc>
        <w:tc>
          <w:tcPr>
            <w:tcW w:w="3621" w:type="pct"/>
            <w:vAlign w:val="center"/>
          </w:tcPr>
          <w:p>
            <w:pPr>
              <w:pStyle w:val="20"/>
              <w:ind w:firstLine="0" w:firstLineChars="0"/>
              <w:jc w:val="left"/>
              <w:rPr>
                <w:rFonts w:hint="eastAsia" w:ascii="宋体" w:hAnsi="宋体"/>
                <w:bCs/>
                <w:szCs w:val="21"/>
              </w:rPr>
            </w:pPr>
            <w:r>
              <w:rPr>
                <w:rFonts w:hint="eastAsia" w:ascii="宋体" w:hAnsi="宋体"/>
                <w:bCs/>
                <w:szCs w:val="21"/>
              </w:rPr>
              <w:t>具有大容量磁力废物槽</w:t>
            </w:r>
          </w:p>
        </w:tc>
        <w:tc>
          <w:tcPr>
            <w:tcW w:w="676" w:type="pct"/>
            <w:vAlign w:val="center"/>
          </w:tcPr>
          <w:p>
            <w:pPr>
              <w:widowControl/>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jc w:val="center"/>
              <w:rPr>
                <w:rFonts w:hint="eastAsia" w:ascii="宋体" w:hAnsi="宋体" w:cs="宋体"/>
                <w:szCs w:val="21"/>
              </w:rPr>
            </w:pPr>
            <w:r>
              <w:rPr>
                <w:rFonts w:hint="eastAsia" w:ascii="宋体" w:hAnsi="宋体" w:cs="宋体"/>
                <w:b/>
                <w:bCs/>
                <w:szCs w:val="21"/>
              </w:rPr>
              <w:t>1.2.16</w:t>
            </w:r>
          </w:p>
        </w:tc>
        <w:tc>
          <w:tcPr>
            <w:tcW w:w="3621" w:type="pct"/>
            <w:vAlign w:val="center"/>
          </w:tcPr>
          <w:p>
            <w:pPr>
              <w:pStyle w:val="20"/>
              <w:ind w:firstLine="0" w:firstLineChars="0"/>
              <w:jc w:val="left"/>
              <w:rPr>
                <w:rFonts w:hint="eastAsia" w:ascii="宋体" w:hAnsi="宋体"/>
                <w:bCs/>
                <w:szCs w:val="21"/>
              </w:rPr>
            </w:pPr>
            <w:r>
              <w:rPr>
                <w:rFonts w:hint="eastAsia" w:ascii="宋体" w:hAnsi="宋体"/>
                <w:bCs/>
                <w:szCs w:val="21"/>
              </w:rPr>
              <w:t>机器具有自动休眠功能，任意键或转动大手轮一圈唤醒唤醒</w:t>
            </w:r>
          </w:p>
        </w:tc>
        <w:tc>
          <w:tcPr>
            <w:tcW w:w="676" w:type="pct"/>
            <w:vAlign w:val="center"/>
          </w:tcPr>
          <w:p>
            <w:pPr>
              <w:widowControl/>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jc w:val="center"/>
              <w:rPr>
                <w:rFonts w:hint="eastAsia" w:ascii="宋体" w:hAnsi="宋体" w:cs="宋体"/>
                <w:szCs w:val="21"/>
              </w:rPr>
            </w:pPr>
            <w:r>
              <w:rPr>
                <w:rFonts w:hint="eastAsia" w:ascii="宋体" w:hAnsi="宋体" w:cs="宋体"/>
                <w:b/>
                <w:bCs/>
                <w:szCs w:val="21"/>
              </w:rPr>
              <w:t>1.2.17</w:t>
            </w:r>
            <w:r>
              <w:rPr>
                <w:rFonts w:hint="eastAsia" w:ascii="宋体" w:hAnsi="宋体" w:cs="仿宋_GB2312"/>
                <w:szCs w:val="21"/>
              </w:rPr>
              <w:t>★</w:t>
            </w:r>
          </w:p>
        </w:tc>
        <w:tc>
          <w:tcPr>
            <w:tcW w:w="3621" w:type="pct"/>
            <w:vAlign w:val="center"/>
          </w:tcPr>
          <w:p>
            <w:pPr>
              <w:pStyle w:val="20"/>
              <w:ind w:firstLine="0" w:firstLineChars="0"/>
              <w:jc w:val="left"/>
              <w:rPr>
                <w:rFonts w:hint="eastAsia" w:ascii="宋体" w:hAnsi="宋体"/>
                <w:bCs/>
                <w:szCs w:val="21"/>
              </w:rPr>
            </w:pPr>
            <w:r>
              <w:rPr>
                <w:rFonts w:hint="eastAsia" w:ascii="宋体" w:hAnsi="宋体"/>
                <w:bCs/>
                <w:szCs w:val="21"/>
              </w:rPr>
              <w:t>标本夹前后行程即时显示，极限位置有声音提醒</w:t>
            </w:r>
          </w:p>
        </w:tc>
        <w:tc>
          <w:tcPr>
            <w:tcW w:w="676" w:type="pct"/>
            <w:vAlign w:val="center"/>
          </w:tcPr>
          <w:p>
            <w:pPr>
              <w:widowControl/>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jc w:val="center"/>
              <w:rPr>
                <w:rFonts w:hint="eastAsia" w:ascii="宋体" w:hAnsi="宋体" w:cs="宋体"/>
                <w:szCs w:val="21"/>
              </w:rPr>
            </w:pPr>
            <w:r>
              <w:rPr>
                <w:rFonts w:hint="eastAsia" w:ascii="宋体" w:hAnsi="宋体" w:cs="宋体"/>
                <w:b/>
                <w:bCs/>
                <w:szCs w:val="21"/>
              </w:rPr>
              <w:t>1.2.18</w:t>
            </w:r>
          </w:p>
        </w:tc>
        <w:tc>
          <w:tcPr>
            <w:tcW w:w="3621" w:type="pct"/>
            <w:vAlign w:val="center"/>
          </w:tcPr>
          <w:p>
            <w:pPr>
              <w:pStyle w:val="20"/>
              <w:ind w:firstLine="0" w:firstLineChars="0"/>
              <w:jc w:val="left"/>
              <w:rPr>
                <w:rFonts w:hint="eastAsia" w:ascii="宋体" w:hAnsi="宋体"/>
                <w:bCs/>
                <w:szCs w:val="21"/>
              </w:rPr>
            </w:pPr>
            <w:r>
              <w:rPr>
                <w:rFonts w:hint="eastAsia" w:ascii="宋体" w:hAnsi="宋体"/>
                <w:bCs/>
                <w:szCs w:val="21"/>
              </w:rPr>
              <w:t>具备小手轮快速复位功能</w:t>
            </w:r>
          </w:p>
        </w:tc>
        <w:tc>
          <w:tcPr>
            <w:tcW w:w="676" w:type="pct"/>
            <w:vAlign w:val="center"/>
          </w:tcPr>
          <w:p>
            <w:pPr>
              <w:widowControl/>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jc w:val="center"/>
              <w:rPr>
                <w:rFonts w:hint="eastAsia" w:ascii="宋体" w:hAnsi="宋体" w:cs="宋体"/>
                <w:szCs w:val="21"/>
              </w:rPr>
            </w:pPr>
            <w:r>
              <w:rPr>
                <w:rFonts w:hint="eastAsia" w:ascii="宋体" w:hAnsi="宋体" w:cs="宋体"/>
                <w:b/>
                <w:bCs/>
                <w:szCs w:val="21"/>
              </w:rPr>
              <w:t>1.2.19</w:t>
            </w:r>
          </w:p>
        </w:tc>
        <w:tc>
          <w:tcPr>
            <w:tcW w:w="3621" w:type="pct"/>
            <w:vAlign w:val="center"/>
          </w:tcPr>
          <w:p>
            <w:pPr>
              <w:pStyle w:val="20"/>
              <w:ind w:firstLine="0" w:firstLineChars="0"/>
              <w:jc w:val="left"/>
              <w:rPr>
                <w:rFonts w:hint="eastAsia" w:ascii="宋体" w:hAnsi="宋体"/>
                <w:bCs/>
                <w:szCs w:val="21"/>
              </w:rPr>
            </w:pPr>
            <w:r>
              <w:rPr>
                <w:rFonts w:hint="eastAsia" w:ascii="宋体" w:hAnsi="宋体"/>
                <w:bCs/>
                <w:szCs w:val="21"/>
              </w:rPr>
              <w:t>个性化小手轮转动方向可调，可选择顺时针或逆时针进样</w:t>
            </w:r>
          </w:p>
        </w:tc>
        <w:tc>
          <w:tcPr>
            <w:tcW w:w="676" w:type="pct"/>
            <w:vAlign w:val="center"/>
          </w:tcPr>
          <w:p>
            <w:pPr>
              <w:widowControl/>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jc w:val="center"/>
              <w:rPr>
                <w:rFonts w:hint="eastAsia" w:ascii="宋体" w:hAnsi="宋体" w:cs="宋体"/>
                <w:szCs w:val="21"/>
              </w:rPr>
            </w:pPr>
            <w:r>
              <w:rPr>
                <w:rFonts w:hint="eastAsia" w:ascii="宋体" w:hAnsi="宋体" w:cs="宋体"/>
                <w:b/>
                <w:bCs/>
                <w:szCs w:val="21"/>
              </w:rPr>
              <w:t>1.2.20</w:t>
            </w:r>
          </w:p>
        </w:tc>
        <w:tc>
          <w:tcPr>
            <w:tcW w:w="3621" w:type="pct"/>
            <w:vAlign w:val="center"/>
          </w:tcPr>
          <w:p>
            <w:pPr>
              <w:pStyle w:val="20"/>
              <w:ind w:firstLine="0" w:firstLineChars="0"/>
              <w:jc w:val="left"/>
              <w:rPr>
                <w:rFonts w:hint="eastAsia" w:ascii="宋体" w:hAnsi="宋体"/>
                <w:bCs/>
                <w:szCs w:val="21"/>
              </w:rPr>
            </w:pPr>
            <w:r>
              <w:rPr>
                <w:rFonts w:hint="eastAsia" w:ascii="宋体" w:hAnsi="宋体"/>
                <w:bCs/>
                <w:szCs w:val="21"/>
              </w:rPr>
              <w:t>液晶显示，具有切片计数和累计厚度功能，实时显示</w:t>
            </w:r>
          </w:p>
        </w:tc>
        <w:tc>
          <w:tcPr>
            <w:tcW w:w="676" w:type="pct"/>
            <w:vAlign w:val="center"/>
          </w:tcPr>
          <w:p>
            <w:pPr>
              <w:widowControl/>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jc w:val="center"/>
              <w:rPr>
                <w:rFonts w:hint="eastAsia" w:ascii="宋体" w:hAnsi="宋体"/>
                <w:szCs w:val="21"/>
              </w:rPr>
            </w:pPr>
            <w:r>
              <w:rPr>
                <w:rFonts w:hint="eastAsia" w:ascii="宋体" w:hAnsi="宋体" w:cs="宋体"/>
                <w:b/>
                <w:bCs/>
                <w:szCs w:val="21"/>
              </w:rPr>
              <w:t>1.2.21</w:t>
            </w:r>
            <w:r>
              <w:rPr>
                <w:rFonts w:hint="eastAsia" w:ascii="宋体" w:hAnsi="宋体" w:cs="仿宋_GB2312"/>
                <w:szCs w:val="21"/>
              </w:rPr>
              <w:t>★</w:t>
            </w:r>
          </w:p>
        </w:tc>
        <w:tc>
          <w:tcPr>
            <w:tcW w:w="3621" w:type="pct"/>
            <w:vAlign w:val="center"/>
          </w:tcPr>
          <w:p>
            <w:pPr>
              <w:pStyle w:val="20"/>
              <w:ind w:firstLine="0" w:firstLineChars="0"/>
              <w:jc w:val="left"/>
              <w:rPr>
                <w:rFonts w:hint="eastAsia" w:ascii="宋体" w:hAnsi="宋体"/>
                <w:bCs/>
                <w:szCs w:val="21"/>
              </w:rPr>
            </w:pPr>
            <w:r>
              <w:rPr>
                <w:rFonts w:hint="eastAsia" w:ascii="宋体" w:hAnsi="宋体"/>
                <w:bCs/>
                <w:szCs w:val="21"/>
              </w:rPr>
              <w:t>具有自动注油系统</w:t>
            </w:r>
          </w:p>
        </w:tc>
        <w:tc>
          <w:tcPr>
            <w:tcW w:w="676" w:type="pct"/>
            <w:vAlign w:val="center"/>
          </w:tcPr>
          <w:p>
            <w:pPr>
              <w:widowControl/>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jc w:val="center"/>
              <w:rPr>
                <w:rFonts w:hint="eastAsia" w:ascii="宋体" w:hAnsi="宋体" w:cs="仿宋_GB2312"/>
                <w:szCs w:val="21"/>
              </w:rPr>
            </w:pPr>
            <w:r>
              <w:rPr>
                <w:rFonts w:hint="eastAsia" w:ascii="宋体" w:hAnsi="宋体" w:cs="宋体"/>
                <w:b/>
                <w:bCs/>
                <w:szCs w:val="21"/>
              </w:rPr>
              <w:t>1.2.22</w:t>
            </w:r>
          </w:p>
        </w:tc>
        <w:tc>
          <w:tcPr>
            <w:tcW w:w="3621" w:type="pct"/>
            <w:vAlign w:val="center"/>
          </w:tcPr>
          <w:p>
            <w:pPr>
              <w:pStyle w:val="20"/>
              <w:ind w:firstLine="0" w:firstLineChars="0"/>
              <w:jc w:val="left"/>
              <w:rPr>
                <w:rFonts w:hint="eastAsia" w:ascii="宋体" w:hAnsi="宋体"/>
                <w:bCs/>
                <w:szCs w:val="21"/>
              </w:rPr>
            </w:pPr>
            <w:r>
              <w:rPr>
                <w:rFonts w:hint="eastAsia" w:ascii="宋体" w:hAnsi="宋体"/>
                <w:bCs/>
                <w:szCs w:val="21"/>
              </w:rPr>
              <w:t>具有可折叠把手，方便搬动机器</w:t>
            </w:r>
          </w:p>
        </w:tc>
        <w:tc>
          <w:tcPr>
            <w:tcW w:w="676" w:type="pct"/>
            <w:vAlign w:val="center"/>
          </w:tcPr>
          <w:p>
            <w:pPr>
              <w:widowControl/>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color w:val="000000"/>
                <w:sz w:val="24"/>
              </w:rPr>
            </w:pPr>
            <w:r>
              <w:rPr>
                <w:rFonts w:hint="eastAsia" w:ascii="宋体" w:hAnsi="宋体"/>
                <w:b/>
                <w:szCs w:val="21"/>
              </w:rPr>
              <w:t>二</w:t>
            </w:r>
          </w:p>
        </w:tc>
        <w:tc>
          <w:tcPr>
            <w:tcW w:w="3621" w:type="pct"/>
            <w:vAlign w:val="center"/>
          </w:tcPr>
          <w:p>
            <w:pPr>
              <w:pStyle w:val="20"/>
              <w:ind w:firstLine="0" w:firstLineChars="0"/>
              <w:jc w:val="left"/>
              <w:rPr>
                <w:color w:val="000000"/>
                <w:sz w:val="24"/>
              </w:rPr>
            </w:pPr>
            <w:r>
              <w:rPr>
                <w:rFonts w:hint="eastAsia" w:ascii="宋体" w:hAnsi="宋体"/>
                <w:b/>
                <w:szCs w:val="21"/>
              </w:rPr>
              <w:t>配置</w:t>
            </w:r>
          </w:p>
        </w:tc>
        <w:tc>
          <w:tcPr>
            <w:tcW w:w="676" w:type="pct"/>
            <w:vAlign w:val="center"/>
          </w:tcPr>
          <w:p>
            <w:pPr>
              <w:pStyle w:val="20"/>
              <w:ind w:firstLine="0" w:firstLineChars="0"/>
              <w:jc w:val="left"/>
              <w:rPr>
                <w:rStyle w:val="25"/>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color w:val="FF0000"/>
                <w:sz w:val="24"/>
              </w:rPr>
            </w:pPr>
            <w:r>
              <w:rPr>
                <w:rFonts w:hint="eastAsia" w:ascii="宋体" w:hAnsi="宋体"/>
                <w:bCs/>
                <w:szCs w:val="21"/>
              </w:rPr>
              <w:t>1、</w:t>
            </w:r>
          </w:p>
        </w:tc>
        <w:tc>
          <w:tcPr>
            <w:tcW w:w="3621" w:type="pct"/>
            <w:vAlign w:val="center"/>
          </w:tcPr>
          <w:p>
            <w:pPr>
              <w:pStyle w:val="20"/>
              <w:ind w:firstLine="0" w:firstLineChars="0"/>
              <w:jc w:val="left"/>
              <w:rPr>
                <w:color w:val="FF0000"/>
                <w:sz w:val="24"/>
              </w:rPr>
            </w:pPr>
            <w:r>
              <w:rPr>
                <w:rFonts w:hint="eastAsia" w:ascii="宋体" w:hAnsi="宋体"/>
                <w:bCs/>
                <w:color w:val="FF0000"/>
                <w:szCs w:val="21"/>
              </w:rPr>
              <w:t>数量：1套</w:t>
            </w:r>
          </w:p>
        </w:tc>
        <w:tc>
          <w:tcPr>
            <w:tcW w:w="676" w:type="pct"/>
            <w:vAlign w:val="center"/>
          </w:tcPr>
          <w:p>
            <w:pPr>
              <w:pStyle w:val="20"/>
              <w:ind w:firstLine="0" w:firstLineChars="0"/>
              <w:jc w:val="left"/>
              <w:rPr>
                <w:rStyle w:val="25"/>
                <w:rFonts w:ascii="Times New Roman" w:hAnsi="Times New Roman"/>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color w:val="FF0000"/>
                <w:sz w:val="24"/>
              </w:rPr>
            </w:pPr>
            <w:r>
              <w:rPr>
                <w:rFonts w:hint="eastAsia" w:ascii="宋体" w:hAnsi="宋体"/>
                <w:bCs/>
                <w:szCs w:val="21"/>
              </w:rPr>
              <w:t>2、</w:t>
            </w:r>
          </w:p>
        </w:tc>
        <w:tc>
          <w:tcPr>
            <w:tcW w:w="3621" w:type="pct"/>
          </w:tcPr>
          <w:p>
            <w:pPr>
              <w:pStyle w:val="20"/>
              <w:ind w:firstLine="0" w:firstLineChars="0"/>
              <w:jc w:val="left"/>
              <w:rPr>
                <w:rFonts w:hint="eastAsia"/>
                <w:color w:val="FF0000"/>
                <w:sz w:val="24"/>
              </w:rPr>
            </w:pPr>
            <w:r>
              <w:rPr>
                <w:rFonts w:hint="eastAsia" w:cs="宋体" w:asciiTheme="minorEastAsia" w:hAnsiTheme="minorEastAsia" w:eastAsiaTheme="minorEastAsia"/>
                <w:sz w:val="24"/>
                <w:szCs w:val="24"/>
              </w:rPr>
              <w:t>主机1台</w:t>
            </w:r>
          </w:p>
        </w:tc>
        <w:tc>
          <w:tcPr>
            <w:tcW w:w="676" w:type="pct"/>
            <w:vAlign w:val="center"/>
          </w:tcPr>
          <w:p>
            <w:pPr>
              <w:pStyle w:val="20"/>
              <w:ind w:firstLine="0" w:firstLineChars="0"/>
              <w:jc w:val="left"/>
              <w:rPr>
                <w:rStyle w:val="25"/>
                <w:rFonts w:ascii="Times New Roman" w:hAnsi="Times New Roman"/>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bCs/>
                <w:szCs w:val="21"/>
              </w:rPr>
            </w:pPr>
            <w:r>
              <w:rPr>
                <w:rFonts w:hint="eastAsia" w:ascii="宋体" w:hAnsi="宋体"/>
                <w:bCs/>
                <w:szCs w:val="21"/>
              </w:rPr>
              <w:t>3</w:t>
            </w:r>
          </w:p>
        </w:tc>
        <w:tc>
          <w:tcPr>
            <w:tcW w:w="3621" w:type="pct"/>
          </w:tcPr>
          <w:p>
            <w:pPr>
              <w:pStyle w:val="20"/>
              <w:ind w:firstLine="0" w:firstLineChars="0"/>
              <w:jc w:val="left"/>
              <w:rPr>
                <w:rFonts w:hint="eastAsia" w:ascii="宋体" w:hAnsi="宋体"/>
                <w:bCs/>
                <w:color w:val="FF0000"/>
                <w:szCs w:val="21"/>
              </w:rPr>
            </w:pPr>
            <w:r>
              <w:rPr>
                <w:rFonts w:hint="eastAsia" w:cs="宋体" w:asciiTheme="minorEastAsia" w:hAnsiTheme="minorEastAsia" w:eastAsiaTheme="minorEastAsia"/>
                <w:sz w:val="24"/>
                <w:szCs w:val="24"/>
              </w:rPr>
              <w:t>大手轮1个</w:t>
            </w:r>
          </w:p>
        </w:tc>
        <w:tc>
          <w:tcPr>
            <w:tcW w:w="676" w:type="pct"/>
            <w:vAlign w:val="center"/>
          </w:tcPr>
          <w:p>
            <w:pPr>
              <w:pStyle w:val="20"/>
              <w:ind w:firstLine="0" w:firstLineChars="0"/>
              <w:jc w:val="left"/>
              <w:rPr>
                <w:rStyle w:val="25"/>
                <w:rFonts w:ascii="Times New Roman" w:hAnsi="Times New Roman"/>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bCs/>
                <w:szCs w:val="21"/>
              </w:rPr>
            </w:pPr>
            <w:r>
              <w:rPr>
                <w:rFonts w:hint="eastAsia" w:ascii="宋体" w:hAnsi="宋体"/>
                <w:bCs/>
                <w:szCs w:val="21"/>
              </w:rPr>
              <w:t>4</w:t>
            </w:r>
          </w:p>
        </w:tc>
        <w:tc>
          <w:tcPr>
            <w:tcW w:w="3621" w:type="pct"/>
          </w:tcPr>
          <w:p>
            <w:pPr>
              <w:pStyle w:val="20"/>
              <w:ind w:firstLine="0" w:firstLineChars="0"/>
              <w:jc w:val="left"/>
              <w:rPr>
                <w:rFonts w:hint="eastAsia" w:ascii="宋体" w:hAnsi="宋体"/>
                <w:bCs/>
                <w:color w:val="FF0000"/>
                <w:szCs w:val="21"/>
              </w:rPr>
            </w:pPr>
            <w:r>
              <w:rPr>
                <w:rFonts w:hint="eastAsia" w:cs="宋体" w:asciiTheme="minorEastAsia" w:hAnsiTheme="minorEastAsia" w:eastAsiaTheme="minorEastAsia"/>
                <w:sz w:val="24"/>
                <w:szCs w:val="24"/>
              </w:rPr>
              <w:t>刀架及底座1套</w:t>
            </w:r>
          </w:p>
        </w:tc>
        <w:tc>
          <w:tcPr>
            <w:tcW w:w="676" w:type="pct"/>
            <w:vAlign w:val="center"/>
          </w:tcPr>
          <w:p>
            <w:pPr>
              <w:pStyle w:val="20"/>
              <w:ind w:firstLine="0" w:firstLineChars="0"/>
              <w:jc w:val="left"/>
              <w:rPr>
                <w:rStyle w:val="25"/>
                <w:rFonts w:ascii="Times New Roman" w:hAnsi="Times New Roman"/>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bCs/>
                <w:szCs w:val="21"/>
              </w:rPr>
            </w:pPr>
            <w:r>
              <w:rPr>
                <w:rFonts w:hint="eastAsia" w:ascii="宋体" w:hAnsi="宋体"/>
                <w:bCs/>
                <w:szCs w:val="21"/>
              </w:rPr>
              <w:t>5</w:t>
            </w:r>
          </w:p>
        </w:tc>
        <w:tc>
          <w:tcPr>
            <w:tcW w:w="3621" w:type="pct"/>
          </w:tcPr>
          <w:p>
            <w:pPr>
              <w:pStyle w:val="20"/>
              <w:ind w:firstLine="0" w:firstLineChars="0"/>
              <w:jc w:val="left"/>
              <w:rPr>
                <w:rFonts w:hint="eastAsia" w:ascii="宋体" w:hAnsi="宋体"/>
                <w:bCs/>
                <w:color w:val="FF0000"/>
                <w:szCs w:val="21"/>
              </w:rPr>
            </w:pPr>
            <w:r>
              <w:rPr>
                <w:rFonts w:hint="eastAsia" w:cs="宋体" w:asciiTheme="minorEastAsia" w:hAnsiTheme="minorEastAsia" w:eastAsiaTheme="minorEastAsia"/>
                <w:sz w:val="24"/>
                <w:szCs w:val="24"/>
              </w:rPr>
              <w:t>包埋框标本夹头1个</w:t>
            </w:r>
          </w:p>
        </w:tc>
        <w:tc>
          <w:tcPr>
            <w:tcW w:w="676" w:type="pct"/>
            <w:vAlign w:val="center"/>
          </w:tcPr>
          <w:p>
            <w:pPr>
              <w:pStyle w:val="20"/>
              <w:ind w:firstLine="0" w:firstLineChars="0"/>
              <w:jc w:val="left"/>
              <w:rPr>
                <w:rStyle w:val="25"/>
                <w:rFonts w:ascii="Times New Roman" w:hAnsi="Times New Roman"/>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bCs/>
                <w:szCs w:val="21"/>
              </w:rPr>
            </w:pPr>
            <w:r>
              <w:rPr>
                <w:rFonts w:hint="eastAsia" w:ascii="宋体" w:hAnsi="宋体"/>
                <w:bCs/>
                <w:szCs w:val="21"/>
              </w:rPr>
              <w:t>6</w:t>
            </w:r>
          </w:p>
        </w:tc>
        <w:tc>
          <w:tcPr>
            <w:tcW w:w="3621" w:type="pct"/>
          </w:tcPr>
          <w:p>
            <w:pPr>
              <w:pStyle w:val="20"/>
              <w:ind w:firstLine="0" w:firstLineChars="0"/>
              <w:jc w:val="left"/>
              <w:rPr>
                <w:rFonts w:hint="eastAsia" w:ascii="宋体" w:hAnsi="宋体"/>
                <w:bCs/>
                <w:color w:val="FF0000"/>
                <w:szCs w:val="21"/>
              </w:rPr>
            </w:pPr>
            <w:r>
              <w:rPr>
                <w:rFonts w:hint="eastAsia" w:cs="宋体" w:asciiTheme="minorEastAsia" w:hAnsiTheme="minorEastAsia" w:eastAsiaTheme="minorEastAsia"/>
                <w:sz w:val="24"/>
                <w:szCs w:val="24"/>
              </w:rPr>
              <w:t>废屑盘1个</w:t>
            </w:r>
          </w:p>
        </w:tc>
        <w:tc>
          <w:tcPr>
            <w:tcW w:w="676" w:type="pct"/>
            <w:vAlign w:val="center"/>
          </w:tcPr>
          <w:p>
            <w:pPr>
              <w:pStyle w:val="20"/>
              <w:ind w:firstLine="0" w:firstLineChars="0"/>
              <w:jc w:val="left"/>
              <w:rPr>
                <w:rStyle w:val="25"/>
                <w:rFonts w:ascii="Times New Roman" w:hAnsi="Times New Roman"/>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bCs/>
                <w:szCs w:val="21"/>
              </w:rPr>
            </w:pPr>
            <w:r>
              <w:rPr>
                <w:rFonts w:hint="eastAsia" w:ascii="宋体" w:hAnsi="宋体"/>
                <w:bCs/>
                <w:szCs w:val="21"/>
              </w:rPr>
              <w:t>7</w:t>
            </w:r>
          </w:p>
        </w:tc>
        <w:tc>
          <w:tcPr>
            <w:tcW w:w="3621" w:type="pct"/>
            <w:vAlign w:val="center"/>
          </w:tcPr>
          <w:p>
            <w:pPr>
              <w:pStyle w:val="20"/>
              <w:ind w:firstLine="0" w:firstLineChars="0"/>
              <w:jc w:val="left"/>
              <w:rPr>
                <w:rFonts w:hint="eastAsia" w:ascii="宋体" w:hAnsi="宋体"/>
                <w:bCs/>
                <w:color w:val="FF0000"/>
                <w:szCs w:val="21"/>
              </w:rPr>
            </w:pPr>
            <w:r>
              <w:rPr>
                <w:rFonts w:hint="eastAsia" w:ascii="宋体" w:hAnsi="宋体"/>
                <w:bCs/>
                <w:color w:val="FF0000"/>
                <w:szCs w:val="21"/>
              </w:rPr>
              <w:t>其他必要附件</w:t>
            </w:r>
          </w:p>
        </w:tc>
        <w:tc>
          <w:tcPr>
            <w:tcW w:w="676" w:type="pct"/>
            <w:vAlign w:val="center"/>
          </w:tcPr>
          <w:p>
            <w:pPr>
              <w:pStyle w:val="20"/>
              <w:ind w:firstLine="0" w:firstLineChars="0"/>
              <w:jc w:val="left"/>
              <w:rPr>
                <w:rStyle w:val="25"/>
                <w:rFonts w:ascii="Times New Roman" w:hAnsi="Times New Roman"/>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cs="宋体"/>
                <w:color w:val="000000"/>
                <w:kern w:val="0"/>
                <w:sz w:val="24"/>
                <w:szCs w:val="24"/>
                <w:lang w:bidi="ar"/>
              </w:rPr>
            </w:pPr>
            <w:r>
              <w:rPr>
                <w:rFonts w:hint="eastAsia" w:ascii="宋体" w:hAnsi="宋体"/>
                <w:bCs/>
                <w:szCs w:val="21"/>
              </w:rPr>
              <w:t>三</w:t>
            </w:r>
          </w:p>
        </w:tc>
        <w:tc>
          <w:tcPr>
            <w:tcW w:w="3621" w:type="pct"/>
            <w:vAlign w:val="center"/>
          </w:tcPr>
          <w:p>
            <w:pPr>
              <w:pStyle w:val="20"/>
              <w:ind w:firstLine="0" w:firstLineChars="0"/>
              <w:jc w:val="left"/>
              <w:rPr>
                <w:rFonts w:hint="eastAsia" w:ascii="宋体" w:hAnsi="宋体" w:cs="宋体"/>
                <w:color w:val="000000"/>
                <w:kern w:val="0"/>
                <w:sz w:val="24"/>
                <w:szCs w:val="24"/>
                <w:lang w:bidi="ar"/>
              </w:rPr>
            </w:pPr>
            <w:r>
              <w:rPr>
                <w:rFonts w:hint="eastAsia" w:ascii="宋体" w:hAnsi="宋体"/>
                <w:bCs/>
                <w:szCs w:val="21"/>
              </w:rPr>
              <w:t>其他</w:t>
            </w:r>
          </w:p>
        </w:tc>
        <w:tc>
          <w:tcPr>
            <w:tcW w:w="676" w:type="pct"/>
            <w:vAlign w:val="center"/>
          </w:tcPr>
          <w:p>
            <w:pPr>
              <w:pStyle w:val="20"/>
              <w:ind w:firstLine="0" w:firstLineChars="0"/>
              <w:jc w:val="left"/>
              <w:rPr>
                <w:rFonts w:hint="eastAsia" w:ascii="宋体" w:hAnsi="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1</w:t>
            </w:r>
          </w:p>
        </w:tc>
        <w:tc>
          <w:tcPr>
            <w:tcW w:w="3621"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投标产品验收合格后保修≥</w:t>
            </w:r>
            <w:r>
              <w:rPr>
                <w:rFonts w:hint="eastAsia" w:ascii="宋体" w:hAnsi="宋体"/>
                <w:bCs/>
                <w:color w:val="FF0000"/>
                <w:szCs w:val="21"/>
              </w:rPr>
              <w:t>5年</w:t>
            </w:r>
            <w:r>
              <w:rPr>
                <w:rFonts w:hint="eastAsia" w:ascii="宋体" w:hAnsi="宋体"/>
                <w:bCs/>
                <w:szCs w:val="21"/>
              </w:rPr>
              <w:t>，投标时提供制造商原厂保修证明。整机终生免费提供软件功能升级服务，并及时提供设备新功能和临床应用的资料。零配件在该设备停产后仍需保证10年的供应。。</w:t>
            </w:r>
          </w:p>
        </w:tc>
        <w:tc>
          <w:tcPr>
            <w:tcW w:w="676" w:type="pct"/>
            <w:vAlign w:val="center"/>
          </w:tcPr>
          <w:p>
            <w:pPr>
              <w:pStyle w:val="20"/>
              <w:ind w:firstLine="0" w:firstLineChars="0"/>
              <w:jc w:val="left"/>
              <w:rPr>
                <w:rFonts w:hint="eastAsia" w:ascii="宋体" w:hAnsi="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2</w:t>
            </w:r>
          </w:p>
        </w:tc>
        <w:tc>
          <w:tcPr>
            <w:tcW w:w="3621"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报出保后每套设备的年保修价格（允许非连保），不含在投标总价中，今后医院购买保修，制造商承诺不得高于此价格。</w:t>
            </w:r>
          </w:p>
        </w:tc>
        <w:tc>
          <w:tcPr>
            <w:tcW w:w="676" w:type="pct"/>
            <w:vAlign w:val="center"/>
          </w:tcPr>
          <w:p>
            <w:pPr>
              <w:pStyle w:val="20"/>
              <w:ind w:firstLine="0" w:firstLineChars="0"/>
              <w:jc w:val="left"/>
              <w:rPr>
                <w:rFonts w:hint="eastAsia" w:ascii="宋体" w:hAnsi="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3</w:t>
            </w:r>
          </w:p>
        </w:tc>
        <w:tc>
          <w:tcPr>
            <w:tcW w:w="3621"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合同签订后45天内到货，货物必须是距投标日10个月内生产。</w:t>
            </w:r>
          </w:p>
        </w:tc>
        <w:tc>
          <w:tcPr>
            <w:tcW w:w="676" w:type="pct"/>
            <w:vAlign w:val="center"/>
          </w:tcPr>
          <w:p>
            <w:pPr>
              <w:pStyle w:val="20"/>
              <w:ind w:firstLine="0" w:firstLineChars="0"/>
              <w:jc w:val="left"/>
              <w:rPr>
                <w:rFonts w:hint="eastAsia" w:ascii="宋体" w:hAnsi="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cs="宋体"/>
                <w:b/>
                <w:sz w:val="24"/>
                <w:szCs w:val="24"/>
              </w:rPr>
            </w:pPr>
            <w:r>
              <w:rPr>
                <w:rFonts w:hint="eastAsia" w:ascii="宋体" w:hAnsi="宋体"/>
                <w:bCs/>
                <w:szCs w:val="21"/>
              </w:rPr>
              <w:t>4</w:t>
            </w:r>
          </w:p>
        </w:tc>
        <w:tc>
          <w:tcPr>
            <w:tcW w:w="3621" w:type="pct"/>
            <w:vAlign w:val="center"/>
          </w:tcPr>
          <w:p>
            <w:pPr>
              <w:pStyle w:val="20"/>
              <w:ind w:firstLine="0" w:firstLineChars="0"/>
              <w:jc w:val="left"/>
              <w:rPr>
                <w:rFonts w:hint="eastAsia" w:ascii="宋体" w:hAnsi="宋体" w:cs="宋体"/>
                <w:b/>
                <w:sz w:val="24"/>
                <w:szCs w:val="24"/>
              </w:rPr>
            </w:pPr>
            <w:r>
              <w:rPr>
                <w:rFonts w:hint="eastAsia" w:ascii="宋体" w:hAnsi="宋体"/>
                <w:bCs/>
                <w:szCs w:val="21"/>
              </w:rPr>
              <w:t>投标产品使用寿命≥</w:t>
            </w:r>
            <w:r>
              <w:rPr>
                <w:rFonts w:hint="eastAsia" w:ascii="宋体" w:hAnsi="宋体"/>
                <w:bCs/>
                <w:color w:val="FF0000"/>
                <w:szCs w:val="21"/>
              </w:rPr>
              <w:t>5年</w:t>
            </w:r>
            <w:r>
              <w:rPr>
                <w:rFonts w:hint="eastAsia" w:ascii="宋体" w:hAnsi="宋体"/>
                <w:bCs/>
                <w:szCs w:val="21"/>
              </w:rPr>
              <w:t>，投标时须提供证明材料（依据注册证或说明书或产品铭牌照片）</w:t>
            </w:r>
          </w:p>
        </w:tc>
        <w:tc>
          <w:tcPr>
            <w:tcW w:w="676" w:type="pct"/>
            <w:vAlign w:val="center"/>
          </w:tcPr>
          <w:p>
            <w:pPr>
              <w:pStyle w:val="20"/>
              <w:ind w:firstLine="0" w:firstLineChars="0"/>
              <w:jc w:val="left"/>
              <w:rPr>
                <w:rFonts w:hint="eastAsia" w:ascii="宋体" w:hAnsi="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5</w:t>
            </w:r>
          </w:p>
        </w:tc>
        <w:tc>
          <w:tcPr>
            <w:tcW w:w="3621"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保修期内，除一次性耗材，易耗品外其他维修部件全部免费提供，投标时列明一次性耗材、易耗品清单及价格，未列明的视为免费提供。</w:t>
            </w:r>
          </w:p>
        </w:tc>
        <w:tc>
          <w:tcPr>
            <w:tcW w:w="676" w:type="pct"/>
            <w:vAlign w:val="center"/>
          </w:tcPr>
          <w:p>
            <w:pPr>
              <w:pStyle w:val="20"/>
              <w:ind w:firstLine="0" w:firstLineChars="0"/>
              <w:jc w:val="left"/>
              <w:rPr>
                <w:rFonts w:hint="eastAsia" w:ascii="宋体" w:hAnsi="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6</w:t>
            </w:r>
          </w:p>
        </w:tc>
        <w:tc>
          <w:tcPr>
            <w:tcW w:w="3621"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设备生命周期内（需满足国家法定要求），因配件无法供应、耗材无法供应、国家法律法规或地方法规、政策原因等等（包括但不限于上述原因的非院方因素）导致设备无法正常使用的，中标商承担设备后续折旧费。设备验收后导致生命周期无法满足国家规定报废最低年限要求的，中标商承担设备不足部分年限折旧费。</w:t>
            </w:r>
          </w:p>
        </w:tc>
        <w:tc>
          <w:tcPr>
            <w:tcW w:w="676" w:type="pct"/>
            <w:vAlign w:val="center"/>
          </w:tcPr>
          <w:p>
            <w:pPr>
              <w:pStyle w:val="20"/>
              <w:ind w:firstLine="0" w:firstLineChars="0"/>
              <w:jc w:val="left"/>
              <w:rPr>
                <w:rFonts w:hint="eastAsia" w:ascii="宋体" w:hAnsi="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7</w:t>
            </w:r>
          </w:p>
        </w:tc>
        <w:tc>
          <w:tcPr>
            <w:tcW w:w="3621"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投标时标明所有单价1000元以上维修备件的清单和供货价。提供不高于同期温州市其他市级医院相同产品的采购价格的最优惠报价，并承诺8年内售价不得高于此价格。如未列明，则默认为日后日常使用中免费提供。</w:t>
            </w:r>
          </w:p>
        </w:tc>
        <w:tc>
          <w:tcPr>
            <w:tcW w:w="676" w:type="pct"/>
            <w:vAlign w:val="center"/>
          </w:tcPr>
          <w:p>
            <w:pPr>
              <w:pStyle w:val="20"/>
              <w:ind w:firstLine="0" w:firstLineChars="0"/>
              <w:jc w:val="left"/>
              <w:rPr>
                <w:rFonts w:hint="eastAsia" w:ascii="宋体" w:hAnsi="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bCs/>
                <w:szCs w:val="21"/>
              </w:rPr>
            </w:pPr>
            <w:r>
              <w:rPr>
                <w:rFonts w:hint="eastAsia" w:ascii="宋体" w:hAnsi="宋体"/>
                <w:bCs/>
                <w:szCs w:val="21"/>
              </w:rPr>
              <w:t>8</w:t>
            </w:r>
          </w:p>
          <w:p>
            <w:pPr>
              <w:pStyle w:val="20"/>
              <w:ind w:firstLine="0" w:firstLineChars="0"/>
              <w:jc w:val="left"/>
              <w:rPr>
                <w:rFonts w:hint="eastAsia" w:ascii="宋体" w:hAnsi="宋体" w:cs="宋体"/>
                <w:sz w:val="24"/>
                <w:szCs w:val="24"/>
              </w:rPr>
            </w:pPr>
          </w:p>
        </w:tc>
        <w:tc>
          <w:tcPr>
            <w:tcW w:w="3621"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质保期内每年每套设备故障率均不得超过14天，每超过一天该设备质保期相应延长10天。</w:t>
            </w:r>
          </w:p>
        </w:tc>
        <w:tc>
          <w:tcPr>
            <w:tcW w:w="676" w:type="pct"/>
            <w:vAlign w:val="center"/>
          </w:tcPr>
          <w:p>
            <w:pPr>
              <w:pStyle w:val="20"/>
              <w:ind w:firstLine="0" w:firstLineChars="0"/>
              <w:jc w:val="left"/>
              <w:rPr>
                <w:rFonts w:hint="eastAsia" w:ascii="宋体" w:hAnsi="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9</w:t>
            </w:r>
          </w:p>
        </w:tc>
        <w:tc>
          <w:tcPr>
            <w:tcW w:w="3621"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提供原厂DATASHEET</w:t>
            </w:r>
          </w:p>
        </w:tc>
        <w:tc>
          <w:tcPr>
            <w:tcW w:w="676" w:type="pct"/>
            <w:vAlign w:val="center"/>
          </w:tcPr>
          <w:p>
            <w:pPr>
              <w:pStyle w:val="20"/>
              <w:ind w:firstLine="0" w:firstLineChars="0"/>
              <w:jc w:val="left"/>
              <w:rPr>
                <w:rFonts w:hint="eastAsia" w:ascii="宋体" w:hAnsi="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cs="宋体"/>
                <w:b/>
                <w:sz w:val="24"/>
                <w:szCs w:val="24"/>
              </w:rPr>
            </w:pPr>
            <w:r>
              <w:rPr>
                <w:rFonts w:hint="eastAsia" w:ascii="宋体" w:hAnsi="宋体"/>
                <w:bCs/>
                <w:szCs w:val="21"/>
              </w:rPr>
              <w:t>10</w:t>
            </w:r>
          </w:p>
        </w:tc>
        <w:tc>
          <w:tcPr>
            <w:tcW w:w="3621" w:type="pct"/>
            <w:vAlign w:val="center"/>
          </w:tcPr>
          <w:p>
            <w:pPr>
              <w:pStyle w:val="20"/>
              <w:ind w:firstLine="0" w:firstLineChars="0"/>
              <w:jc w:val="left"/>
              <w:rPr>
                <w:rFonts w:hint="eastAsia" w:ascii="宋体" w:hAnsi="宋体" w:cs="宋体"/>
                <w:b/>
                <w:sz w:val="24"/>
                <w:szCs w:val="24"/>
              </w:rPr>
            </w:pPr>
            <w:r>
              <w:rPr>
                <w:rFonts w:hint="eastAsia" w:ascii="宋体" w:hAnsi="宋体"/>
                <w:bCs/>
                <w:szCs w:val="21"/>
              </w:rPr>
              <w:t>设备安装、调试</w:t>
            </w:r>
          </w:p>
        </w:tc>
        <w:tc>
          <w:tcPr>
            <w:tcW w:w="676" w:type="pct"/>
            <w:vAlign w:val="center"/>
          </w:tcPr>
          <w:p>
            <w:pPr>
              <w:pStyle w:val="20"/>
              <w:ind w:firstLine="0" w:firstLineChars="0"/>
              <w:jc w:val="left"/>
              <w:rPr>
                <w:rFonts w:hint="eastAsia" w:ascii="宋体" w:hAnsi="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10.1</w:t>
            </w:r>
          </w:p>
        </w:tc>
        <w:tc>
          <w:tcPr>
            <w:tcW w:w="3621" w:type="pct"/>
            <w:vAlign w:val="center"/>
          </w:tcPr>
          <w:p>
            <w:pPr>
              <w:pStyle w:val="20"/>
              <w:ind w:firstLine="0" w:firstLineChars="0"/>
              <w:jc w:val="left"/>
              <w:rPr>
                <w:rFonts w:hint="eastAsia" w:ascii="宋体" w:hAnsi="宋体" w:cs="宋体"/>
                <w:b/>
                <w:sz w:val="24"/>
                <w:szCs w:val="24"/>
              </w:rPr>
            </w:pPr>
            <w:r>
              <w:rPr>
                <w:rFonts w:hint="eastAsia" w:ascii="宋体" w:hAnsi="宋体"/>
                <w:bCs/>
                <w:szCs w:val="21"/>
              </w:rPr>
              <w:t>安装地点：采购单位指定位置。</w:t>
            </w:r>
          </w:p>
        </w:tc>
        <w:tc>
          <w:tcPr>
            <w:tcW w:w="676" w:type="pct"/>
            <w:vAlign w:val="center"/>
          </w:tcPr>
          <w:p>
            <w:pPr>
              <w:pStyle w:val="20"/>
              <w:ind w:firstLine="0" w:firstLineChars="0"/>
              <w:jc w:val="left"/>
              <w:rPr>
                <w:rFonts w:hint="eastAsia" w:ascii="宋体" w:hAnsi="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10.2</w:t>
            </w:r>
          </w:p>
        </w:tc>
        <w:tc>
          <w:tcPr>
            <w:tcW w:w="3621"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安装完成时间：投标方应在投标文件中明确正常完成安装调试的时间期限，并提供超出期限情况下投标方对因此给买方造成损失的赔偿计划。</w:t>
            </w:r>
          </w:p>
        </w:tc>
        <w:tc>
          <w:tcPr>
            <w:tcW w:w="676" w:type="pct"/>
            <w:vAlign w:val="center"/>
          </w:tcPr>
          <w:p>
            <w:pPr>
              <w:pStyle w:val="20"/>
              <w:ind w:firstLine="0" w:firstLineChars="0"/>
              <w:jc w:val="left"/>
              <w:rPr>
                <w:rFonts w:hint="eastAsia" w:ascii="宋体" w:hAnsi="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10.3</w:t>
            </w:r>
          </w:p>
        </w:tc>
        <w:tc>
          <w:tcPr>
            <w:tcW w:w="3621"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安装标准：符合中华人民共和国国家有关技术规范要求和技术标准。所有的软件和硬件必须保证同时安装到位。</w:t>
            </w:r>
          </w:p>
        </w:tc>
        <w:tc>
          <w:tcPr>
            <w:tcW w:w="676" w:type="pct"/>
            <w:vAlign w:val="center"/>
          </w:tcPr>
          <w:p>
            <w:pPr>
              <w:pStyle w:val="20"/>
              <w:ind w:firstLine="0" w:firstLineChars="0"/>
              <w:jc w:val="left"/>
              <w:rPr>
                <w:rFonts w:hint="eastAsia" w:ascii="宋体" w:hAnsi="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10.4</w:t>
            </w:r>
          </w:p>
        </w:tc>
        <w:tc>
          <w:tcPr>
            <w:tcW w:w="3621"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安装费用：安装过程中发生的费用（含检测、耗材等）由卖方负责。投标方应在投标文件中提供其安装调试计划和对安装场地和环境的要求。</w:t>
            </w:r>
          </w:p>
        </w:tc>
        <w:tc>
          <w:tcPr>
            <w:tcW w:w="676" w:type="pct"/>
            <w:vAlign w:val="center"/>
          </w:tcPr>
          <w:p>
            <w:pPr>
              <w:pStyle w:val="20"/>
              <w:ind w:firstLine="0" w:firstLineChars="0"/>
              <w:jc w:val="left"/>
              <w:rPr>
                <w:rFonts w:hint="eastAsia" w:ascii="宋体" w:hAnsi="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10.5</w:t>
            </w:r>
          </w:p>
        </w:tc>
        <w:tc>
          <w:tcPr>
            <w:tcW w:w="3621"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安装人员：应由中标方有三台以上（含）同类型设备安装经验的原厂工程师负责安装。</w:t>
            </w:r>
          </w:p>
        </w:tc>
        <w:tc>
          <w:tcPr>
            <w:tcW w:w="676" w:type="pct"/>
            <w:vAlign w:val="center"/>
          </w:tcPr>
          <w:p>
            <w:pPr>
              <w:pStyle w:val="20"/>
              <w:ind w:firstLine="0" w:firstLineChars="0"/>
              <w:jc w:val="left"/>
              <w:rPr>
                <w:rFonts w:hint="eastAsia" w:ascii="宋体" w:hAnsi="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11</w:t>
            </w:r>
          </w:p>
        </w:tc>
        <w:tc>
          <w:tcPr>
            <w:tcW w:w="3621"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培训</w:t>
            </w:r>
          </w:p>
        </w:tc>
        <w:tc>
          <w:tcPr>
            <w:tcW w:w="676" w:type="pct"/>
            <w:vAlign w:val="center"/>
          </w:tcPr>
          <w:p>
            <w:pPr>
              <w:pStyle w:val="20"/>
              <w:ind w:firstLine="0" w:firstLineChars="0"/>
              <w:jc w:val="left"/>
              <w:rPr>
                <w:rFonts w:hint="eastAsia" w:ascii="宋体" w:hAnsi="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sz w:val="24"/>
              </w:rPr>
            </w:pPr>
            <w:r>
              <w:rPr>
                <w:rFonts w:hint="eastAsia" w:ascii="宋体" w:hAnsi="宋体"/>
                <w:bCs/>
                <w:szCs w:val="21"/>
              </w:rPr>
              <w:t>11.1</w:t>
            </w:r>
          </w:p>
        </w:tc>
        <w:tc>
          <w:tcPr>
            <w:tcW w:w="3621" w:type="pct"/>
            <w:vAlign w:val="center"/>
          </w:tcPr>
          <w:p>
            <w:pPr>
              <w:pStyle w:val="20"/>
              <w:ind w:firstLine="0" w:firstLineChars="0"/>
              <w:jc w:val="left"/>
              <w:rPr>
                <w:sz w:val="24"/>
              </w:rPr>
            </w:pPr>
            <w:r>
              <w:rPr>
                <w:rFonts w:hint="eastAsia" w:ascii="宋体" w:hAnsi="宋体"/>
                <w:bCs/>
                <w:szCs w:val="21"/>
              </w:rPr>
              <w:t>中标方应对买方的维修人员进行培训并承担所有费用，使其能对设备进行日常的维护保养并能对一般故障及时进行维修。所有的维修图纸、维修手册及维修调试软件的密码及专用的维修工具应全部免费提供。</w:t>
            </w:r>
          </w:p>
        </w:tc>
        <w:tc>
          <w:tcPr>
            <w:tcW w:w="676" w:type="pct"/>
            <w:vAlign w:val="center"/>
          </w:tcPr>
          <w:p>
            <w:pPr>
              <w:pStyle w:val="20"/>
              <w:ind w:firstLine="0" w:firstLineChars="0"/>
              <w:jc w:val="left"/>
              <w:rPr>
                <w:rStyle w:val="25"/>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sz w:val="24"/>
              </w:rPr>
            </w:pPr>
            <w:r>
              <w:rPr>
                <w:rFonts w:hint="eastAsia" w:ascii="宋体" w:hAnsi="宋体"/>
                <w:bCs/>
                <w:szCs w:val="21"/>
              </w:rPr>
              <w:t>11.2</w:t>
            </w:r>
          </w:p>
        </w:tc>
        <w:tc>
          <w:tcPr>
            <w:tcW w:w="3621" w:type="pct"/>
            <w:vAlign w:val="center"/>
          </w:tcPr>
          <w:p>
            <w:pPr>
              <w:pStyle w:val="20"/>
              <w:ind w:firstLine="0" w:firstLineChars="0"/>
              <w:jc w:val="left"/>
              <w:rPr>
                <w:sz w:val="24"/>
              </w:rPr>
            </w:pPr>
            <w:r>
              <w:rPr>
                <w:rFonts w:hint="eastAsia" w:ascii="宋体" w:hAnsi="宋体"/>
                <w:bCs/>
                <w:szCs w:val="21"/>
              </w:rPr>
              <w:t>中标方应对买方的操作人员进行培训并承担所有费用。</w:t>
            </w:r>
          </w:p>
        </w:tc>
        <w:tc>
          <w:tcPr>
            <w:tcW w:w="676" w:type="pct"/>
            <w:vAlign w:val="center"/>
          </w:tcPr>
          <w:p>
            <w:pPr>
              <w:pStyle w:val="20"/>
              <w:ind w:firstLine="0" w:firstLineChars="0"/>
              <w:jc w:val="left"/>
              <w:rPr>
                <w:rStyle w:val="25"/>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sz w:val="24"/>
              </w:rPr>
            </w:pPr>
            <w:r>
              <w:rPr>
                <w:rFonts w:hint="eastAsia" w:ascii="宋体" w:hAnsi="宋体"/>
                <w:bCs/>
                <w:szCs w:val="21"/>
              </w:rPr>
              <w:t>11.3</w:t>
            </w:r>
          </w:p>
        </w:tc>
        <w:tc>
          <w:tcPr>
            <w:tcW w:w="3621" w:type="pct"/>
            <w:vAlign w:val="center"/>
          </w:tcPr>
          <w:p>
            <w:pPr>
              <w:pStyle w:val="20"/>
              <w:ind w:firstLine="0" w:firstLineChars="0"/>
              <w:jc w:val="left"/>
              <w:rPr>
                <w:sz w:val="24"/>
              </w:rPr>
            </w:pPr>
            <w:r>
              <w:rPr>
                <w:rFonts w:hint="eastAsia" w:ascii="宋体" w:hAnsi="宋体"/>
                <w:bCs/>
                <w:szCs w:val="21"/>
              </w:rPr>
              <w:t>培训完成后，中标方须提供详细培训记录，培训记录应有培训内容、参加人员（签字）、培训地点、培训时间以及操作人员考核情况。</w:t>
            </w:r>
          </w:p>
        </w:tc>
        <w:tc>
          <w:tcPr>
            <w:tcW w:w="676" w:type="pct"/>
            <w:vAlign w:val="center"/>
          </w:tcPr>
          <w:p>
            <w:pPr>
              <w:pStyle w:val="20"/>
              <w:ind w:firstLine="0" w:firstLineChars="0"/>
              <w:jc w:val="left"/>
              <w:rPr>
                <w:rStyle w:val="25"/>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sz w:val="24"/>
              </w:rPr>
            </w:pPr>
            <w:r>
              <w:rPr>
                <w:rFonts w:hint="eastAsia" w:ascii="宋体" w:hAnsi="宋体"/>
                <w:bCs/>
                <w:szCs w:val="21"/>
              </w:rPr>
              <w:t>12</w:t>
            </w:r>
          </w:p>
        </w:tc>
        <w:tc>
          <w:tcPr>
            <w:tcW w:w="3621" w:type="pct"/>
            <w:vAlign w:val="center"/>
          </w:tcPr>
          <w:p>
            <w:pPr>
              <w:pStyle w:val="20"/>
              <w:ind w:firstLine="0" w:firstLineChars="0"/>
              <w:jc w:val="left"/>
              <w:rPr>
                <w:sz w:val="24"/>
              </w:rPr>
            </w:pPr>
            <w:r>
              <w:rPr>
                <w:rFonts w:hint="eastAsia" w:ascii="宋体" w:hAnsi="宋体"/>
                <w:bCs/>
                <w:szCs w:val="21"/>
              </w:rPr>
              <w:t>验收</w:t>
            </w:r>
          </w:p>
        </w:tc>
        <w:tc>
          <w:tcPr>
            <w:tcW w:w="676" w:type="pct"/>
            <w:vAlign w:val="center"/>
          </w:tcPr>
          <w:p>
            <w:pPr>
              <w:pStyle w:val="20"/>
              <w:ind w:firstLine="0" w:firstLineChars="0"/>
              <w:jc w:val="left"/>
              <w:rPr>
                <w:rStyle w:val="25"/>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sz w:val="24"/>
              </w:rPr>
            </w:pPr>
            <w:r>
              <w:rPr>
                <w:rFonts w:hint="eastAsia" w:ascii="宋体" w:hAnsi="宋体"/>
                <w:bCs/>
                <w:szCs w:val="21"/>
              </w:rPr>
              <w:t>12.1</w:t>
            </w:r>
          </w:p>
        </w:tc>
        <w:tc>
          <w:tcPr>
            <w:tcW w:w="3621" w:type="pct"/>
            <w:vAlign w:val="center"/>
          </w:tcPr>
          <w:p>
            <w:pPr>
              <w:pStyle w:val="20"/>
              <w:ind w:firstLine="0" w:firstLineChars="0"/>
              <w:jc w:val="left"/>
              <w:rPr>
                <w:sz w:val="24"/>
              </w:rPr>
            </w:pPr>
            <w:r>
              <w:rPr>
                <w:rFonts w:hint="eastAsia" w:ascii="宋体" w:hAnsi="宋体"/>
                <w:bCs/>
                <w:szCs w:val="21"/>
              </w:rPr>
              <w:t>投标方在投标时应提供设备的验收标准、安装技术规范，供买方参考。</w:t>
            </w:r>
          </w:p>
        </w:tc>
        <w:tc>
          <w:tcPr>
            <w:tcW w:w="676" w:type="pct"/>
            <w:vAlign w:val="center"/>
          </w:tcPr>
          <w:p>
            <w:pPr>
              <w:pStyle w:val="20"/>
              <w:ind w:firstLine="0" w:firstLineChars="0"/>
              <w:jc w:val="left"/>
              <w:rPr>
                <w:rStyle w:val="25"/>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sz w:val="24"/>
              </w:rPr>
            </w:pPr>
            <w:r>
              <w:rPr>
                <w:rFonts w:hint="eastAsia" w:ascii="宋体" w:hAnsi="宋体"/>
                <w:bCs/>
                <w:szCs w:val="21"/>
              </w:rPr>
              <w:t>12.2</w:t>
            </w:r>
          </w:p>
        </w:tc>
        <w:tc>
          <w:tcPr>
            <w:tcW w:w="3621" w:type="pct"/>
            <w:vAlign w:val="center"/>
          </w:tcPr>
          <w:p>
            <w:pPr>
              <w:pStyle w:val="20"/>
              <w:ind w:firstLine="0" w:firstLineChars="0"/>
              <w:jc w:val="left"/>
              <w:rPr>
                <w:sz w:val="24"/>
              </w:rPr>
            </w:pPr>
            <w:r>
              <w:rPr>
                <w:rFonts w:hint="eastAsia" w:ascii="宋体" w:hAnsi="宋体"/>
                <w:bCs/>
                <w:szCs w:val="21"/>
              </w:rPr>
              <w:t>验收依据：按投标文件、招标文件及国家标准验收。</w:t>
            </w:r>
          </w:p>
        </w:tc>
        <w:tc>
          <w:tcPr>
            <w:tcW w:w="676" w:type="pct"/>
            <w:vAlign w:val="center"/>
          </w:tcPr>
          <w:p>
            <w:pPr>
              <w:pStyle w:val="20"/>
              <w:ind w:firstLine="0" w:firstLineChars="0"/>
              <w:jc w:val="left"/>
              <w:rPr>
                <w:rStyle w:val="25"/>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sz w:val="24"/>
              </w:rPr>
            </w:pPr>
            <w:r>
              <w:rPr>
                <w:rFonts w:hint="eastAsia" w:ascii="宋体" w:hAnsi="宋体"/>
                <w:bCs/>
                <w:szCs w:val="21"/>
              </w:rPr>
              <w:t>12.3</w:t>
            </w:r>
          </w:p>
        </w:tc>
        <w:tc>
          <w:tcPr>
            <w:tcW w:w="3621" w:type="pct"/>
            <w:vAlign w:val="center"/>
          </w:tcPr>
          <w:p>
            <w:pPr>
              <w:pStyle w:val="20"/>
              <w:ind w:firstLine="0" w:firstLineChars="0"/>
              <w:jc w:val="left"/>
              <w:rPr>
                <w:rFonts w:hint="eastAsia" w:ascii="宋体" w:hAnsi="宋体"/>
                <w:bCs/>
                <w:szCs w:val="21"/>
              </w:rPr>
            </w:pPr>
            <w:r>
              <w:rPr>
                <w:rFonts w:hint="eastAsia" w:ascii="宋体" w:hAnsi="宋体"/>
                <w:bCs/>
                <w:szCs w:val="21"/>
              </w:rPr>
              <w:t>验收时，投标人提供下列资料：</w:t>
            </w:r>
          </w:p>
          <w:p>
            <w:pPr>
              <w:pStyle w:val="20"/>
              <w:ind w:firstLine="0" w:firstLineChars="0"/>
              <w:jc w:val="left"/>
              <w:rPr>
                <w:sz w:val="24"/>
              </w:rPr>
            </w:pPr>
            <w:r>
              <w:rPr>
                <w:rFonts w:hint="eastAsia" w:ascii="宋体" w:hAnsi="宋体"/>
                <w:bCs/>
                <w:szCs w:val="21"/>
              </w:rPr>
              <w:t>提供三证，完整的中英文技术资料，包括操作手册1套、维修手册1套及电子版的操作规程等。同时应提供原厂的出厂配置清单、设备出厂检验报告和质量合格证书等，如系进口产品，还应提供报关证明、检验检疫合格证明（如需）。如属计量产品还需提供计量检定报告。</w:t>
            </w:r>
          </w:p>
        </w:tc>
        <w:tc>
          <w:tcPr>
            <w:tcW w:w="676" w:type="pct"/>
            <w:vAlign w:val="center"/>
          </w:tcPr>
          <w:p>
            <w:pPr>
              <w:pStyle w:val="20"/>
              <w:ind w:firstLine="0" w:firstLineChars="0"/>
              <w:jc w:val="left"/>
              <w:rPr>
                <w:rStyle w:val="25"/>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sz w:val="24"/>
              </w:rPr>
            </w:pPr>
            <w:r>
              <w:rPr>
                <w:rFonts w:hint="eastAsia" w:ascii="宋体" w:hAnsi="宋体"/>
                <w:bCs/>
                <w:szCs w:val="21"/>
              </w:rPr>
              <w:t>12.4</w:t>
            </w:r>
          </w:p>
        </w:tc>
        <w:tc>
          <w:tcPr>
            <w:tcW w:w="3621" w:type="pct"/>
            <w:vAlign w:val="center"/>
          </w:tcPr>
          <w:p>
            <w:pPr>
              <w:pStyle w:val="20"/>
              <w:ind w:firstLine="0" w:firstLineChars="0"/>
              <w:jc w:val="left"/>
              <w:rPr>
                <w:sz w:val="24"/>
              </w:rPr>
            </w:pPr>
            <w:r>
              <w:rPr>
                <w:rFonts w:hint="eastAsia" w:ascii="宋体" w:hAnsi="宋体"/>
                <w:bCs/>
                <w:szCs w:val="21"/>
              </w:rPr>
              <w:t>设备到达最终用户后，要求卖方及安装人员会同买方共同参与设备验收。设备安装调试后，卖方负责安装质量，并经验收合格后，买卖双方共同签署设备验收合格证书。</w:t>
            </w:r>
          </w:p>
        </w:tc>
        <w:tc>
          <w:tcPr>
            <w:tcW w:w="676" w:type="pct"/>
            <w:vAlign w:val="center"/>
          </w:tcPr>
          <w:p>
            <w:pPr>
              <w:pStyle w:val="20"/>
              <w:ind w:firstLine="0" w:firstLineChars="0"/>
              <w:jc w:val="left"/>
              <w:rPr>
                <w:rStyle w:val="25"/>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sz w:val="24"/>
              </w:rPr>
            </w:pPr>
            <w:r>
              <w:rPr>
                <w:rFonts w:hint="eastAsia" w:ascii="宋体" w:hAnsi="宋体"/>
                <w:bCs/>
                <w:szCs w:val="21"/>
              </w:rPr>
              <w:t>12.5</w:t>
            </w:r>
          </w:p>
        </w:tc>
        <w:tc>
          <w:tcPr>
            <w:tcW w:w="3621" w:type="pct"/>
            <w:vAlign w:val="center"/>
          </w:tcPr>
          <w:p>
            <w:pPr>
              <w:pStyle w:val="20"/>
              <w:ind w:firstLine="0" w:firstLineChars="0"/>
              <w:jc w:val="left"/>
              <w:rPr>
                <w:sz w:val="24"/>
              </w:rPr>
            </w:pPr>
            <w:r>
              <w:rPr>
                <w:rFonts w:hint="eastAsia" w:ascii="宋体" w:hAnsi="宋体"/>
                <w:bCs/>
                <w:szCs w:val="21"/>
              </w:rPr>
              <w:t>验收过程中发现货物性能或功能达不到要求，卖方必须更换有关部件，使货物最终达到规定的性能指标和功能要求，但必须在发现问题后15个工作日内完成。</w:t>
            </w:r>
          </w:p>
        </w:tc>
        <w:tc>
          <w:tcPr>
            <w:tcW w:w="676" w:type="pct"/>
            <w:vAlign w:val="center"/>
          </w:tcPr>
          <w:p>
            <w:pPr>
              <w:pStyle w:val="20"/>
              <w:ind w:firstLine="0" w:firstLineChars="0"/>
              <w:jc w:val="left"/>
              <w:rPr>
                <w:rStyle w:val="25"/>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sz w:val="24"/>
              </w:rPr>
            </w:pPr>
            <w:r>
              <w:rPr>
                <w:rFonts w:hint="eastAsia" w:ascii="宋体" w:hAnsi="宋体"/>
                <w:bCs/>
                <w:szCs w:val="21"/>
              </w:rPr>
              <w:t>12.6</w:t>
            </w:r>
          </w:p>
        </w:tc>
        <w:tc>
          <w:tcPr>
            <w:tcW w:w="3621" w:type="pct"/>
            <w:vAlign w:val="center"/>
          </w:tcPr>
          <w:p>
            <w:pPr>
              <w:pStyle w:val="20"/>
              <w:ind w:firstLine="0" w:firstLineChars="0"/>
              <w:jc w:val="left"/>
              <w:rPr>
                <w:sz w:val="24"/>
              </w:rPr>
            </w:pPr>
            <w:r>
              <w:rPr>
                <w:rFonts w:hint="eastAsia" w:ascii="宋体" w:hAnsi="宋体"/>
                <w:bCs/>
                <w:szCs w:val="21"/>
              </w:rPr>
              <w:t>所有验收相关费用由产品中标方负担</w:t>
            </w:r>
          </w:p>
        </w:tc>
        <w:tc>
          <w:tcPr>
            <w:tcW w:w="676" w:type="pct"/>
            <w:vAlign w:val="center"/>
          </w:tcPr>
          <w:p>
            <w:pPr>
              <w:pStyle w:val="20"/>
              <w:ind w:firstLine="0" w:firstLineChars="0"/>
              <w:jc w:val="left"/>
              <w:rPr>
                <w:rStyle w:val="25"/>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sz w:val="24"/>
              </w:rPr>
            </w:pPr>
            <w:r>
              <w:rPr>
                <w:rFonts w:hint="eastAsia" w:ascii="宋体" w:hAnsi="宋体"/>
                <w:bCs/>
                <w:szCs w:val="21"/>
              </w:rPr>
              <w:t>13</w:t>
            </w:r>
          </w:p>
        </w:tc>
        <w:tc>
          <w:tcPr>
            <w:tcW w:w="3621" w:type="pct"/>
            <w:vAlign w:val="center"/>
          </w:tcPr>
          <w:p>
            <w:pPr>
              <w:pStyle w:val="20"/>
              <w:ind w:firstLine="0" w:firstLineChars="0"/>
              <w:jc w:val="left"/>
              <w:rPr>
                <w:sz w:val="24"/>
              </w:rPr>
            </w:pPr>
            <w:r>
              <w:rPr>
                <w:rFonts w:hint="eastAsia" w:ascii="宋体" w:hAnsi="宋体"/>
                <w:bCs/>
                <w:szCs w:val="21"/>
              </w:rPr>
              <w:t>付款方式和条件</w:t>
            </w:r>
          </w:p>
        </w:tc>
        <w:tc>
          <w:tcPr>
            <w:tcW w:w="676" w:type="pct"/>
            <w:vAlign w:val="center"/>
          </w:tcPr>
          <w:p>
            <w:pPr>
              <w:pStyle w:val="20"/>
              <w:ind w:firstLine="0" w:firstLineChars="0"/>
              <w:jc w:val="left"/>
              <w:rPr>
                <w:rStyle w:val="25"/>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sz w:val="24"/>
              </w:rPr>
            </w:pPr>
            <w:r>
              <w:rPr>
                <w:rFonts w:hint="eastAsia" w:ascii="宋体" w:hAnsi="宋体"/>
                <w:bCs/>
                <w:szCs w:val="21"/>
              </w:rPr>
              <w:t>13.1</w:t>
            </w:r>
          </w:p>
        </w:tc>
        <w:tc>
          <w:tcPr>
            <w:tcW w:w="3621" w:type="pct"/>
            <w:vAlign w:val="center"/>
          </w:tcPr>
          <w:p>
            <w:pPr>
              <w:pStyle w:val="20"/>
              <w:ind w:left="0" w:leftChars="0" w:firstLine="0" w:firstLineChars="0"/>
              <w:jc w:val="left"/>
              <w:rPr>
                <w:rFonts w:hint="eastAsia" w:ascii="宋体" w:hAnsi="宋体"/>
                <w:bCs/>
                <w:color w:val="FF0000"/>
                <w:szCs w:val="21"/>
                <w:lang w:val="zh-CN"/>
              </w:rPr>
            </w:pPr>
            <w:r>
              <w:rPr>
                <w:rFonts w:hint="eastAsia" w:ascii="宋体" w:hAnsi="宋体"/>
                <w:bCs/>
                <w:color w:val="FF0000"/>
                <w:szCs w:val="21"/>
                <w:lang w:val="zh-CN"/>
              </w:rPr>
              <w:t>一次性支付：</w:t>
            </w:r>
          </w:p>
          <w:p>
            <w:pPr>
              <w:pStyle w:val="20"/>
              <w:ind w:left="0" w:leftChars="0" w:firstLine="0" w:firstLineChars="0"/>
              <w:jc w:val="left"/>
              <w:rPr>
                <w:rFonts w:hint="eastAsia" w:ascii="宋体" w:hAnsi="宋体"/>
                <w:bCs/>
                <w:color w:val="FF0000"/>
                <w:szCs w:val="21"/>
                <w:lang w:val="zh-CN"/>
              </w:rPr>
            </w:pPr>
            <w:r>
              <w:rPr>
                <w:rFonts w:hint="eastAsia" w:ascii="宋体" w:hAnsi="宋体"/>
                <w:bCs/>
                <w:color w:val="FF0000"/>
                <w:szCs w:val="21"/>
                <w:lang w:val="zh-CN"/>
              </w:rPr>
              <w:t>本合同项下的全部货物安装调试完毕并经最终验收合格后收到中标商发票后的，采购单位按以下第 （2） 种方式一次性支付中标商全部合同价款。</w:t>
            </w:r>
          </w:p>
          <w:p>
            <w:pPr>
              <w:pStyle w:val="20"/>
              <w:ind w:left="0" w:leftChars="0" w:firstLine="0" w:firstLineChars="0"/>
              <w:jc w:val="left"/>
              <w:rPr>
                <w:rFonts w:hint="eastAsia" w:ascii="宋体" w:hAnsi="宋体"/>
                <w:bCs/>
                <w:color w:val="FF0000"/>
                <w:szCs w:val="21"/>
                <w:lang w:val="zh-CN"/>
              </w:rPr>
            </w:pPr>
            <w:r>
              <w:rPr>
                <w:rFonts w:hint="eastAsia" w:ascii="宋体" w:hAnsi="宋体"/>
                <w:bCs/>
                <w:color w:val="FF0000"/>
                <w:szCs w:val="21"/>
                <w:lang w:val="zh-CN"/>
              </w:rPr>
              <w:t>（1）政府采购项目7个工作日内；</w:t>
            </w:r>
          </w:p>
          <w:p>
            <w:pPr>
              <w:pStyle w:val="20"/>
              <w:ind w:left="0" w:leftChars="0" w:firstLine="0" w:firstLineChars="0"/>
              <w:jc w:val="left"/>
              <w:rPr>
                <w:sz w:val="24"/>
              </w:rPr>
            </w:pPr>
            <w:r>
              <w:rPr>
                <w:rFonts w:hint="eastAsia" w:ascii="宋体" w:hAnsi="宋体"/>
                <w:bCs/>
                <w:color w:val="FF0000"/>
                <w:szCs w:val="21"/>
                <w:lang w:val="zh-CN"/>
              </w:rPr>
              <w:t>（2）非政府采购项目3个月内。</w:t>
            </w:r>
          </w:p>
        </w:tc>
        <w:tc>
          <w:tcPr>
            <w:tcW w:w="676" w:type="pct"/>
            <w:vAlign w:val="center"/>
          </w:tcPr>
          <w:p>
            <w:pPr>
              <w:pStyle w:val="20"/>
              <w:ind w:firstLine="0" w:firstLineChars="0"/>
              <w:jc w:val="left"/>
              <w:rPr>
                <w:rStyle w:val="25"/>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sz w:val="24"/>
              </w:rPr>
            </w:pPr>
            <w:r>
              <w:rPr>
                <w:rFonts w:hint="eastAsia" w:ascii="宋体" w:hAnsi="宋体"/>
                <w:bCs/>
                <w:szCs w:val="21"/>
              </w:rPr>
              <w:t>13.2</w:t>
            </w:r>
          </w:p>
        </w:tc>
        <w:tc>
          <w:tcPr>
            <w:tcW w:w="3621" w:type="pct"/>
            <w:vAlign w:val="center"/>
          </w:tcPr>
          <w:p>
            <w:pPr>
              <w:pStyle w:val="20"/>
              <w:ind w:firstLine="0" w:firstLineChars="0"/>
              <w:jc w:val="left"/>
              <w:rPr>
                <w:sz w:val="24"/>
              </w:rPr>
            </w:pPr>
            <w:r>
              <w:rPr>
                <w:rFonts w:hint="eastAsia" w:ascii="宋体" w:hAnsi="宋体"/>
                <w:bCs/>
                <w:szCs w:val="21"/>
              </w:rPr>
              <w:t>投标商按合同开具多张发票的，额度应大于等于投标单台设备价格，且发票号需连续不中断。</w:t>
            </w:r>
          </w:p>
        </w:tc>
        <w:tc>
          <w:tcPr>
            <w:tcW w:w="676" w:type="pct"/>
            <w:vAlign w:val="center"/>
          </w:tcPr>
          <w:p>
            <w:pPr>
              <w:pStyle w:val="20"/>
              <w:ind w:firstLine="0" w:firstLineChars="0"/>
              <w:jc w:val="left"/>
              <w:rPr>
                <w:rStyle w:val="25"/>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sz w:val="24"/>
              </w:rPr>
            </w:pPr>
            <w:r>
              <w:rPr>
                <w:rFonts w:hint="eastAsia" w:ascii="宋体" w:hAnsi="宋体"/>
                <w:bCs/>
                <w:szCs w:val="21"/>
              </w:rPr>
              <w:t>14</w:t>
            </w:r>
          </w:p>
        </w:tc>
        <w:tc>
          <w:tcPr>
            <w:tcW w:w="3621" w:type="pct"/>
            <w:vAlign w:val="center"/>
          </w:tcPr>
          <w:p>
            <w:pPr>
              <w:pStyle w:val="20"/>
              <w:ind w:firstLine="0" w:firstLineChars="0"/>
              <w:jc w:val="left"/>
              <w:rPr>
                <w:sz w:val="24"/>
              </w:rPr>
            </w:pPr>
            <w:r>
              <w:rPr>
                <w:rFonts w:hint="eastAsia" w:ascii="新宋体" w:hAnsi="新宋体" w:eastAsia="新宋体" w:cs="新宋体"/>
                <w:b w:val="0"/>
                <w:bCs/>
                <w:sz w:val="22"/>
                <w:szCs w:val="22"/>
                <w:highlight w:val="none"/>
              </w:rPr>
              <w:t>延期交货罚款：</w:t>
            </w:r>
            <w:r>
              <w:rPr>
                <w:rFonts w:hint="eastAsia"/>
                <w:color w:val="000000" w:themeColor="text1"/>
                <w:sz w:val="22"/>
                <w:szCs w:val="22"/>
                <w:highlight w:val="none"/>
                <w:lang w:eastAsia="zh-CN"/>
                <w14:textFill>
                  <w14:solidFill>
                    <w14:schemeClr w14:val="tx1"/>
                  </w14:solidFill>
                </w14:textFill>
              </w:rPr>
              <w:t>中标商</w:t>
            </w:r>
            <w:r>
              <w:rPr>
                <w:rFonts w:hint="eastAsia" w:ascii="新宋体" w:hAnsi="新宋体" w:eastAsia="新宋体" w:cs="新宋体"/>
                <w:bCs/>
                <w:szCs w:val="22"/>
                <w:highlight w:val="none"/>
              </w:rPr>
              <w:t>逾期交付货物的，</w:t>
            </w:r>
            <w:r>
              <w:rPr>
                <w:rFonts w:hint="eastAsia"/>
                <w:color w:val="000000" w:themeColor="text1"/>
                <w:sz w:val="22"/>
                <w:szCs w:val="22"/>
                <w:highlight w:val="none"/>
                <w:lang w:eastAsia="zh-CN"/>
                <w14:textFill>
                  <w14:solidFill>
                    <w14:schemeClr w14:val="tx1"/>
                  </w14:solidFill>
                </w14:textFill>
              </w:rPr>
              <w:t>中标商</w:t>
            </w:r>
            <w:r>
              <w:rPr>
                <w:rFonts w:hint="eastAsia" w:ascii="新宋体" w:hAnsi="新宋体" w:eastAsia="新宋体" w:cs="新宋体"/>
                <w:bCs/>
                <w:szCs w:val="22"/>
                <w:highlight w:val="none"/>
              </w:rPr>
              <w:t>应按合同总额每日千分之六向</w:t>
            </w:r>
            <w:r>
              <w:rPr>
                <w:rFonts w:hint="eastAsia"/>
                <w:color w:val="000000" w:themeColor="text1"/>
                <w:sz w:val="22"/>
                <w:szCs w:val="22"/>
                <w:highlight w:val="none"/>
                <w:lang w:val="en-US" w:eastAsia="zh-CN"/>
                <w14:textFill>
                  <w14:solidFill>
                    <w14:schemeClr w14:val="tx1"/>
                  </w14:solidFill>
                </w14:textFill>
              </w:rPr>
              <w:t>采购单位</w:t>
            </w:r>
            <w:r>
              <w:rPr>
                <w:rFonts w:hint="eastAsia" w:ascii="新宋体" w:hAnsi="新宋体" w:eastAsia="新宋体" w:cs="新宋体"/>
                <w:bCs/>
                <w:szCs w:val="22"/>
                <w:highlight w:val="none"/>
              </w:rPr>
              <w:t>支付违约金，由</w:t>
            </w:r>
            <w:r>
              <w:rPr>
                <w:rFonts w:hint="eastAsia"/>
                <w:color w:val="000000" w:themeColor="text1"/>
                <w:sz w:val="22"/>
                <w:szCs w:val="22"/>
                <w:highlight w:val="none"/>
                <w:lang w:val="en-US" w:eastAsia="zh-CN"/>
                <w14:textFill>
                  <w14:solidFill>
                    <w14:schemeClr w14:val="tx1"/>
                  </w14:solidFill>
                </w14:textFill>
              </w:rPr>
              <w:t>采购单位</w:t>
            </w:r>
            <w:r>
              <w:rPr>
                <w:rFonts w:hint="eastAsia" w:ascii="新宋体" w:hAnsi="新宋体" w:eastAsia="新宋体" w:cs="新宋体"/>
                <w:bCs/>
                <w:szCs w:val="22"/>
                <w:highlight w:val="none"/>
              </w:rPr>
              <w:t>从待付货款中扣除。逾期超过约定日期10个工作日不能交货的，</w:t>
            </w:r>
            <w:r>
              <w:rPr>
                <w:rFonts w:hint="eastAsia"/>
                <w:color w:val="000000" w:themeColor="text1"/>
                <w:sz w:val="22"/>
                <w:szCs w:val="22"/>
                <w:highlight w:val="none"/>
                <w:lang w:val="en-US" w:eastAsia="zh-CN"/>
                <w14:textFill>
                  <w14:solidFill>
                    <w14:schemeClr w14:val="tx1"/>
                  </w14:solidFill>
                </w14:textFill>
              </w:rPr>
              <w:t>采购单位</w:t>
            </w:r>
            <w:r>
              <w:rPr>
                <w:rFonts w:hint="eastAsia" w:ascii="新宋体" w:hAnsi="新宋体" w:eastAsia="新宋体" w:cs="新宋体"/>
                <w:bCs/>
                <w:szCs w:val="22"/>
                <w:highlight w:val="none"/>
              </w:rPr>
              <w:t>可解除本合同。</w:t>
            </w:r>
            <w:r>
              <w:rPr>
                <w:rFonts w:hint="eastAsia"/>
                <w:color w:val="000000" w:themeColor="text1"/>
                <w:sz w:val="22"/>
                <w:szCs w:val="22"/>
                <w:highlight w:val="none"/>
                <w:lang w:eastAsia="zh-CN"/>
                <w14:textFill>
                  <w14:solidFill>
                    <w14:schemeClr w14:val="tx1"/>
                  </w14:solidFill>
                </w14:textFill>
              </w:rPr>
              <w:t>中标商</w:t>
            </w:r>
            <w:r>
              <w:rPr>
                <w:rFonts w:hint="eastAsia" w:ascii="新宋体" w:hAnsi="新宋体" w:eastAsia="新宋体" w:cs="新宋体"/>
                <w:bCs/>
                <w:szCs w:val="22"/>
                <w:highlight w:val="none"/>
              </w:rPr>
              <w:t>因逾期交货或因其他违约行为导致</w:t>
            </w:r>
            <w:r>
              <w:rPr>
                <w:rFonts w:hint="eastAsia"/>
                <w:color w:val="000000" w:themeColor="text1"/>
                <w:sz w:val="22"/>
                <w:szCs w:val="22"/>
                <w:highlight w:val="none"/>
                <w:lang w:val="en-US" w:eastAsia="zh-CN"/>
                <w14:textFill>
                  <w14:solidFill>
                    <w14:schemeClr w14:val="tx1"/>
                  </w14:solidFill>
                </w14:textFill>
              </w:rPr>
              <w:t>采购单位</w:t>
            </w:r>
            <w:r>
              <w:rPr>
                <w:rFonts w:hint="eastAsia" w:ascii="新宋体" w:hAnsi="新宋体" w:eastAsia="新宋体" w:cs="新宋体"/>
                <w:bCs/>
                <w:szCs w:val="22"/>
                <w:highlight w:val="none"/>
              </w:rPr>
              <w:t>解除合同的，</w:t>
            </w:r>
            <w:r>
              <w:rPr>
                <w:rFonts w:hint="eastAsia"/>
                <w:color w:val="000000" w:themeColor="text1"/>
                <w:sz w:val="22"/>
                <w:szCs w:val="22"/>
                <w:highlight w:val="none"/>
                <w:lang w:eastAsia="zh-CN"/>
                <w14:textFill>
                  <w14:solidFill>
                    <w14:schemeClr w14:val="tx1"/>
                  </w14:solidFill>
                </w14:textFill>
              </w:rPr>
              <w:t>中标商</w:t>
            </w:r>
            <w:r>
              <w:rPr>
                <w:rFonts w:hint="eastAsia" w:ascii="新宋体" w:hAnsi="新宋体" w:eastAsia="新宋体" w:cs="新宋体"/>
                <w:bCs/>
                <w:szCs w:val="22"/>
                <w:highlight w:val="none"/>
              </w:rPr>
              <w:t>应向</w:t>
            </w:r>
            <w:r>
              <w:rPr>
                <w:rFonts w:hint="eastAsia"/>
                <w:color w:val="000000" w:themeColor="text1"/>
                <w:sz w:val="22"/>
                <w:szCs w:val="22"/>
                <w:highlight w:val="none"/>
                <w:lang w:val="en-US" w:eastAsia="zh-CN"/>
                <w14:textFill>
                  <w14:solidFill>
                    <w14:schemeClr w14:val="tx1"/>
                  </w14:solidFill>
                </w14:textFill>
              </w:rPr>
              <w:t>采购单位</w:t>
            </w:r>
            <w:r>
              <w:rPr>
                <w:rFonts w:hint="eastAsia" w:ascii="新宋体" w:hAnsi="新宋体" w:eastAsia="新宋体" w:cs="新宋体"/>
                <w:bCs/>
                <w:szCs w:val="22"/>
                <w:highlight w:val="none"/>
              </w:rPr>
              <w:t>支付合同总值 5% 的违约金，如造成</w:t>
            </w:r>
            <w:r>
              <w:rPr>
                <w:rFonts w:hint="eastAsia"/>
                <w:color w:val="000000" w:themeColor="text1"/>
                <w:sz w:val="22"/>
                <w:szCs w:val="22"/>
                <w:highlight w:val="none"/>
                <w:lang w:val="en-US" w:eastAsia="zh-CN"/>
                <w14:textFill>
                  <w14:solidFill>
                    <w14:schemeClr w14:val="tx1"/>
                  </w14:solidFill>
                </w14:textFill>
              </w:rPr>
              <w:t>采购单位</w:t>
            </w:r>
            <w:r>
              <w:rPr>
                <w:rFonts w:hint="eastAsia" w:ascii="新宋体" w:hAnsi="新宋体" w:eastAsia="新宋体" w:cs="新宋体"/>
                <w:bCs/>
                <w:szCs w:val="22"/>
                <w:highlight w:val="none"/>
              </w:rPr>
              <w:t>损失超过违约金的，超出部分由</w:t>
            </w:r>
            <w:r>
              <w:rPr>
                <w:rFonts w:hint="eastAsia"/>
                <w:color w:val="000000" w:themeColor="text1"/>
                <w:sz w:val="22"/>
                <w:szCs w:val="22"/>
                <w:highlight w:val="none"/>
                <w:lang w:eastAsia="zh-CN"/>
                <w14:textFill>
                  <w14:solidFill>
                    <w14:schemeClr w14:val="tx1"/>
                  </w14:solidFill>
                </w14:textFill>
              </w:rPr>
              <w:t>中标商</w:t>
            </w:r>
            <w:r>
              <w:rPr>
                <w:rFonts w:hint="eastAsia" w:ascii="新宋体" w:hAnsi="新宋体" w:eastAsia="新宋体" w:cs="新宋体"/>
                <w:bCs/>
                <w:szCs w:val="22"/>
                <w:highlight w:val="none"/>
              </w:rPr>
              <w:t>继续承担赔偿责任。</w:t>
            </w:r>
          </w:p>
        </w:tc>
        <w:tc>
          <w:tcPr>
            <w:tcW w:w="676" w:type="pct"/>
            <w:vAlign w:val="center"/>
          </w:tcPr>
          <w:p>
            <w:pPr>
              <w:pStyle w:val="20"/>
              <w:ind w:firstLine="0" w:firstLineChars="0"/>
              <w:jc w:val="left"/>
              <w:rPr>
                <w:rStyle w:val="25"/>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sz w:val="24"/>
              </w:rPr>
            </w:pPr>
            <w:r>
              <w:rPr>
                <w:rFonts w:hint="eastAsia" w:ascii="宋体" w:hAnsi="宋体"/>
                <w:bCs/>
                <w:szCs w:val="21"/>
              </w:rPr>
              <w:t>15</w:t>
            </w:r>
          </w:p>
        </w:tc>
        <w:tc>
          <w:tcPr>
            <w:tcW w:w="3621" w:type="pct"/>
            <w:vAlign w:val="center"/>
          </w:tcPr>
          <w:p>
            <w:pPr>
              <w:pStyle w:val="20"/>
              <w:ind w:firstLine="0" w:firstLineChars="0"/>
              <w:jc w:val="left"/>
              <w:rPr>
                <w:sz w:val="24"/>
              </w:rPr>
            </w:pPr>
            <w:r>
              <w:rPr>
                <w:rFonts w:hint="eastAsia" w:ascii="宋体" w:hAnsi="宋体"/>
                <w:bCs/>
                <w:szCs w:val="21"/>
              </w:rPr>
              <w:t>保密：招投标及合同中凡涉及买方项目的有关信息，不得透露给第三方。</w:t>
            </w:r>
          </w:p>
        </w:tc>
        <w:tc>
          <w:tcPr>
            <w:tcW w:w="676" w:type="pct"/>
            <w:vAlign w:val="center"/>
          </w:tcPr>
          <w:p>
            <w:pPr>
              <w:pStyle w:val="20"/>
              <w:ind w:firstLine="0" w:firstLineChars="0"/>
              <w:jc w:val="left"/>
              <w:rPr>
                <w:rStyle w:val="25"/>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sz w:val="24"/>
              </w:rPr>
            </w:pPr>
            <w:r>
              <w:rPr>
                <w:rFonts w:hint="eastAsia" w:ascii="宋体" w:hAnsi="宋体"/>
                <w:bCs/>
                <w:szCs w:val="21"/>
              </w:rPr>
              <w:t>16</w:t>
            </w:r>
          </w:p>
        </w:tc>
        <w:tc>
          <w:tcPr>
            <w:tcW w:w="3621" w:type="pct"/>
            <w:vAlign w:val="center"/>
          </w:tcPr>
          <w:p>
            <w:pPr>
              <w:pStyle w:val="20"/>
              <w:ind w:firstLine="0" w:firstLineChars="0"/>
              <w:jc w:val="left"/>
              <w:rPr>
                <w:sz w:val="24"/>
              </w:rPr>
            </w:pPr>
            <w:r>
              <w:rPr>
                <w:rFonts w:hint="eastAsia" w:ascii="宋体" w:hAnsi="宋体"/>
                <w:bCs/>
                <w:szCs w:val="21"/>
              </w:rPr>
              <w:t>货物购销合同签订的同时，双方须签订廉洁购销合同</w:t>
            </w:r>
          </w:p>
        </w:tc>
        <w:tc>
          <w:tcPr>
            <w:tcW w:w="676" w:type="pct"/>
            <w:vAlign w:val="center"/>
          </w:tcPr>
          <w:p>
            <w:pPr>
              <w:pStyle w:val="20"/>
              <w:ind w:firstLine="0" w:firstLineChars="0"/>
              <w:jc w:val="left"/>
              <w:rPr>
                <w:rStyle w:val="25"/>
                <w:rFonts w:ascii="Times New Roman" w:hAnsi="Times New Roman"/>
                <w:sz w:val="24"/>
                <w:szCs w:val="24"/>
              </w:rPr>
            </w:pPr>
          </w:p>
        </w:tc>
      </w:tr>
    </w:tbl>
    <w:p>
      <w:pPr>
        <w:snapToGrid w:val="0"/>
        <w:spacing w:line="360" w:lineRule="auto"/>
        <w:ind w:firstLine="470" w:firstLineChars="196"/>
        <w:jc w:val="left"/>
        <w:rPr>
          <w:rFonts w:hint="eastAsia" w:asciiTheme="minorEastAsia" w:hAnsiTheme="minorEastAsia" w:eastAsiaTheme="minorEastAsia" w:cstheme="minorEastAsia"/>
          <w:sz w:val="24"/>
          <w:szCs w:val="24"/>
        </w:rPr>
      </w:pPr>
    </w:p>
    <w:p>
      <w:pPr>
        <w:snapToGrid w:val="0"/>
        <w:spacing w:line="360" w:lineRule="auto"/>
        <w:ind w:firstLine="470" w:firstLineChars="196"/>
        <w:jc w:val="left"/>
        <w:rPr>
          <w:rFonts w:hint="eastAsia" w:asciiTheme="minorEastAsia" w:hAnsiTheme="minorEastAsia" w:eastAsiaTheme="minorEastAsia" w:cstheme="minorEastAsia"/>
          <w:sz w:val="24"/>
          <w:szCs w:val="24"/>
        </w:rPr>
      </w:pPr>
    </w:p>
    <w:p>
      <w:pPr>
        <w:pStyle w:val="8"/>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Style w:val="14"/>
          <w:rFonts w:hint="eastAsia" w:asciiTheme="minorEastAsia" w:hAnsiTheme="minorEastAsia" w:eastAsiaTheme="minorEastAsia" w:cstheme="minorEastAsia"/>
          <w:b/>
          <w:bCs/>
          <w:kern w:val="2"/>
          <w:sz w:val="32"/>
          <w:szCs w:val="32"/>
          <w:lang w:val="en-US" w:eastAsia="zh-CN" w:bidi="ar-SA"/>
        </w:rPr>
      </w:pPr>
      <w:r>
        <w:rPr>
          <w:rStyle w:val="14"/>
          <w:rFonts w:hint="eastAsia" w:asciiTheme="minorEastAsia" w:hAnsiTheme="minorEastAsia" w:eastAsiaTheme="minorEastAsia" w:cstheme="minorEastAsia"/>
          <w:b/>
          <w:bCs/>
          <w:kern w:val="2"/>
          <w:sz w:val="32"/>
          <w:szCs w:val="32"/>
          <w:lang w:val="en-US" w:eastAsia="zh-CN" w:bidi="ar-SA"/>
        </w:rPr>
        <w:t>评分细则</w:t>
      </w:r>
    </w:p>
    <w:tbl>
      <w:tblPr>
        <w:tblStyle w:val="11"/>
        <w:tblpPr w:leftFromText="180" w:rightFromText="180" w:vertAnchor="text" w:horzAnchor="page" w:tblpX="1259" w:tblpY="464"/>
        <w:tblOverlap w:val="never"/>
        <w:tblW w:w="936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88"/>
        <w:gridCol w:w="2639"/>
        <w:gridCol w:w="997"/>
        <w:gridCol w:w="49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263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评定项目</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分值</w:t>
            </w:r>
          </w:p>
        </w:tc>
        <w:tc>
          <w:tcPr>
            <w:tcW w:w="4945" w:type="dxa"/>
            <w:noWrap w:val="0"/>
            <w:vAlign w:val="center"/>
          </w:tcPr>
          <w:p>
            <w:pPr>
              <w:ind w:left="105" w:leftChars="50" w:right="10" w:rightChars="5"/>
              <w:jc w:val="center"/>
              <w:rPr>
                <w:rFonts w:hint="eastAsia" w:ascii="宋体" w:hAnsi="宋体" w:eastAsia="宋体" w:cs="宋体"/>
                <w:sz w:val="21"/>
                <w:szCs w:val="21"/>
              </w:rPr>
            </w:pPr>
            <w:r>
              <w:rPr>
                <w:rFonts w:hint="eastAsia" w:ascii="宋体" w:hAnsi="宋体" w:eastAsia="宋体" w:cs="宋体"/>
                <w:sz w:val="21"/>
                <w:szCs w:val="21"/>
              </w:rPr>
              <w:t>评分细则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对应于招标文件设备技术规格及配置的偏离度</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35</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color w:val="auto"/>
                <w:sz w:val="21"/>
                <w:szCs w:val="21"/>
                <w:highlight w:val="none"/>
              </w:rPr>
              <w:t>与招标文件</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rPr>
              <w:t>货物技术规格及配置、商务要求对比，一项指标负偏离扣1分，标注★的指标</w:t>
            </w:r>
            <w:r>
              <w:rPr>
                <w:rFonts w:hint="eastAsia" w:ascii="宋体" w:hAnsi="宋体" w:eastAsia="宋体" w:cs="宋体"/>
                <w:color w:val="auto"/>
                <w:sz w:val="21"/>
                <w:szCs w:val="21"/>
                <w:highlight w:val="none"/>
                <w:lang w:eastAsia="zh-CN"/>
              </w:rPr>
              <w:t>负</w:t>
            </w:r>
            <w:r>
              <w:rPr>
                <w:rFonts w:hint="eastAsia" w:ascii="宋体" w:hAnsi="宋体" w:eastAsia="宋体" w:cs="宋体"/>
                <w:color w:val="auto"/>
                <w:sz w:val="21"/>
                <w:szCs w:val="21"/>
                <w:highlight w:val="none"/>
              </w:rPr>
              <w:t>偏离每项扣4分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扣完为止</w:t>
            </w:r>
            <w:r>
              <w:rPr>
                <w:rFonts w:hint="eastAsia" w:ascii="宋体" w:hAnsi="宋体" w:eastAsia="宋体" w:cs="宋体"/>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投标设备配套的合理性</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评委对投标设备配套的合理性、功能实现程度进行评价：投标设备配套合理、功能实现程度高的，得3分；配套较合理、功能实现程度较高的，得2分；配套合理性一般、不能完全达到临床要求功能的，得1分。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投标设备技术指标的先进性</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评委对投标设备技术指标的先进性进行评价：技术指标高于招标要求且具有较高临床使用价值的，每项得1分；最高得3分。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投标机型的档次</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投标机型在产品系列中属高档产品的，得3分；属中等档次产品的，得2分；属低档产品的，得1分。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运行成本</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包括保修价格、售后服务方案、年运行费用和消耗品或易耗品价格等综合运行成本进行评价。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保修服务</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lang w:eastAsia="zh-CN"/>
              </w:rPr>
              <w:t>设备</w:t>
            </w:r>
            <w:r>
              <w:rPr>
                <w:rFonts w:hint="eastAsia" w:ascii="宋体" w:hAnsi="宋体" w:eastAsia="宋体" w:cs="宋体"/>
                <w:sz w:val="21"/>
                <w:szCs w:val="21"/>
              </w:rPr>
              <w:t>保修期超过招标文件要求的，每增加1年加1分</w:t>
            </w:r>
            <w:r>
              <w:rPr>
                <w:rFonts w:hint="eastAsia" w:ascii="宋体" w:hAnsi="宋体" w:eastAsia="宋体" w:cs="宋体"/>
                <w:sz w:val="21"/>
                <w:szCs w:val="21"/>
                <w:lang w:val="en-US" w:eastAsia="zh-CN"/>
              </w:rPr>
              <w:t>，</w:t>
            </w:r>
            <w:r>
              <w:rPr>
                <w:rFonts w:hint="eastAsia" w:ascii="宋体" w:hAnsi="宋体" w:eastAsia="宋体" w:cs="宋体"/>
                <w:sz w:val="21"/>
                <w:szCs w:val="21"/>
              </w:rPr>
              <w:t>增加部分不足1年的不计分。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投标产品总体质量性能</w:t>
            </w:r>
          </w:p>
        </w:tc>
        <w:tc>
          <w:tcPr>
            <w:tcW w:w="997"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投标产品在临床上的使用情况、稳定性、故障率等总体质量性能综合评价。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市场占有率</w:t>
            </w:r>
          </w:p>
        </w:tc>
        <w:tc>
          <w:tcPr>
            <w:tcW w:w="997"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提供</w:t>
            </w:r>
            <w:r>
              <w:rPr>
                <w:rFonts w:hint="eastAsia" w:ascii="宋体" w:hAnsi="宋体" w:eastAsia="宋体" w:cs="宋体"/>
                <w:sz w:val="21"/>
                <w:szCs w:val="21"/>
                <w:lang w:eastAsia="zh-CN"/>
              </w:rPr>
              <w:t>温州市或浙江省内</w:t>
            </w: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年1月1日起至今与最终用户签订的投标机型合同复印件，每份有效合同得</w:t>
            </w:r>
            <w:r>
              <w:rPr>
                <w:rFonts w:hint="eastAsia" w:ascii="宋体" w:hAnsi="宋体" w:eastAsia="宋体" w:cs="宋体"/>
                <w:sz w:val="21"/>
                <w:szCs w:val="21"/>
                <w:lang w:val="en-US" w:eastAsia="zh-CN"/>
              </w:rPr>
              <w:t>1</w:t>
            </w:r>
            <w:r>
              <w:rPr>
                <w:rFonts w:hint="eastAsia" w:ascii="宋体" w:hAnsi="宋体" w:eastAsia="宋体" w:cs="宋体"/>
                <w:sz w:val="21"/>
                <w:szCs w:val="21"/>
              </w:rPr>
              <w:t>分，最多</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制造商或代理商的售后服务和维修能力</w:t>
            </w:r>
          </w:p>
        </w:tc>
        <w:tc>
          <w:tcPr>
            <w:tcW w:w="997"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4945" w:type="dxa"/>
            <w:noWrap w:val="0"/>
            <w:vAlign w:val="center"/>
          </w:tcPr>
          <w:p>
            <w:pPr>
              <w:ind w:left="105" w:leftChars="50" w:right="10" w:rightChars="5"/>
              <w:rPr>
                <w:rFonts w:hint="eastAsia" w:ascii="宋体" w:hAnsi="宋体" w:eastAsia="宋体" w:cs="宋体"/>
                <w:sz w:val="21"/>
                <w:szCs w:val="21"/>
                <w:lang w:eastAsia="zh-CN"/>
              </w:rPr>
            </w:pPr>
            <w:r>
              <w:rPr>
                <w:rFonts w:hint="eastAsia" w:ascii="宋体" w:hAnsi="宋体" w:eastAsia="宋体" w:cs="宋体"/>
                <w:sz w:val="21"/>
                <w:szCs w:val="21"/>
              </w:rPr>
              <w:t>制造商或代理商的售后服务和维修能力，服务响应速度、服务人员水平、备品备件配置等综合评价。</w:t>
            </w:r>
            <w:r>
              <w:rPr>
                <w:rFonts w:hint="eastAsia" w:ascii="宋体" w:hAnsi="宋体" w:eastAsia="宋体" w:cs="宋体"/>
                <w:sz w:val="21"/>
                <w:szCs w:val="21"/>
                <w:lang w:eastAsia="zh-CN"/>
              </w:rPr>
              <w:t>（厂家在温州市或者浙江省内有常驻维修服务点和维修工程师得</w:t>
            </w:r>
            <w:r>
              <w:rPr>
                <w:rFonts w:hint="eastAsia" w:ascii="宋体" w:hAnsi="宋体" w:eastAsia="宋体" w:cs="宋体"/>
                <w:sz w:val="21"/>
                <w:szCs w:val="21"/>
                <w:lang w:val="en-US" w:eastAsia="zh-CN"/>
              </w:rPr>
              <w:t>1分，代理商有维修服务人员得1分，承诺接用户报修后二十四小时内维修人员能到场维修的得1分</w:t>
            </w:r>
          </w:p>
        </w:tc>
      </w:tr>
    </w:tbl>
    <w:p>
      <w:pPr>
        <w:spacing w:line="360" w:lineRule="auto"/>
        <w:ind w:firstLine="457" w:firstLineChars="196"/>
        <w:rPr>
          <w:rStyle w:val="14"/>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pacing w:val="-4"/>
          <w:sz w:val="24"/>
          <w:szCs w:val="24"/>
        </w:rPr>
        <w:t>1、商务技术分（0-65分）</w:t>
      </w:r>
    </w:p>
    <w:p>
      <w:pPr>
        <w:spacing w:before="120" w:beforeLines="50" w:after="120" w:afterLines="50"/>
        <w:ind w:firstLine="398" w:firstLineChars="196"/>
        <w:jc w:val="both"/>
        <w:rPr>
          <w:rFonts w:hint="eastAsia" w:asciiTheme="minorEastAsia" w:hAnsiTheme="minorEastAsia" w:eastAsiaTheme="minorEastAsia" w:cstheme="minorEastAsia"/>
          <w:b/>
          <w:bCs/>
          <w:spacing w:val="-4"/>
          <w:sz w:val="21"/>
          <w:szCs w:val="21"/>
        </w:rPr>
      </w:pPr>
      <w:r>
        <w:rPr>
          <w:rFonts w:hint="eastAsia" w:asciiTheme="minorEastAsia" w:hAnsiTheme="minorEastAsia" w:eastAsiaTheme="minorEastAsia" w:cstheme="minorEastAsia"/>
          <w:b/>
          <w:spacing w:val="-4"/>
          <w:sz w:val="21"/>
          <w:szCs w:val="21"/>
        </w:rPr>
        <w:t>2、</w:t>
      </w:r>
      <w:r>
        <w:rPr>
          <w:rFonts w:hint="eastAsia" w:asciiTheme="minorEastAsia" w:hAnsiTheme="minorEastAsia" w:eastAsiaTheme="minorEastAsia" w:cstheme="minorEastAsia"/>
          <w:b/>
          <w:bCs/>
          <w:spacing w:val="-4"/>
          <w:sz w:val="21"/>
          <w:szCs w:val="21"/>
        </w:rPr>
        <w:t>价格分（0-35分）</w:t>
      </w:r>
    </w:p>
    <w:p>
      <w:pPr>
        <w:pStyle w:val="8"/>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Fonts w:hint="eastAsia"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价格分采用低价优先法计算，即满足招标文件要求且投标报价最低的投标报价为评标基准价，其得分为满分35分。其他投标人的价格分按照下列公式计算：</w:t>
      </w:r>
    </w:p>
    <w:p>
      <w:pPr>
        <w:spacing w:before="120" w:beforeLines="50" w:after="120" w:after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价格分=（评标基准价/</w:t>
      </w:r>
      <w:r>
        <w:rPr>
          <w:rFonts w:hint="eastAsia" w:asciiTheme="minorEastAsia" w:hAnsiTheme="minorEastAsia" w:eastAsiaTheme="minorEastAsia" w:cstheme="minorEastAsia"/>
          <w:bCs/>
          <w:spacing w:val="-4"/>
          <w:sz w:val="21"/>
          <w:szCs w:val="21"/>
        </w:rPr>
        <w:t>投标报价</w:t>
      </w:r>
      <w:r>
        <w:rPr>
          <w:rFonts w:hint="eastAsia" w:asciiTheme="minorEastAsia" w:hAnsiTheme="minorEastAsia" w:eastAsiaTheme="minorEastAsia" w:cstheme="minorEastAsia"/>
          <w:sz w:val="21"/>
          <w:szCs w:val="21"/>
        </w:rPr>
        <w:t>）×35%×100</w:t>
      </w:r>
    </w:p>
    <w:p>
      <w:pPr>
        <w:numPr>
          <w:ilvl w:val="0"/>
          <w:numId w:val="2"/>
        </w:numPr>
        <w:ind w:firstLine="482" w:firstLineChars="200"/>
        <w:jc w:val="left"/>
        <w:rPr>
          <w:sz w:val="24"/>
        </w:rPr>
      </w:pPr>
      <w:r>
        <w:rPr>
          <w:rFonts w:hint="eastAsia" w:asciiTheme="minorEastAsia" w:hAnsiTheme="minorEastAsia" w:eastAsiaTheme="minorEastAsia" w:cstheme="minorEastAsia"/>
          <w:b/>
          <w:bCs w:val="0"/>
          <w:sz w:val="24"/>
          <w:szCs w:val="24"/>
          <w:lang w:val="en-US" w:eastAsia="zh-CN"/>
        </w:rPr>
        <w:t>总分</w:t>
      </w:r>
      <w:r>
        <w:rPr>
          <w:rFonts w:hint="eastAsia" w:asciiTheme="minorEastAsia" w:hAnsiTheme="minorEastAsia" w:eastAsiaTheme="minorEastAsia" w:cstheme="minorEastAsia"/>
          <w:b/>
          <w:bCs w:val="0"/>
          <w:sz w:val="21"/>
          <w:szCs w:val="21"/>
          <w:lang w:val="en-US" w:eastAsia="zh-CN"/>
        </w:rPr>
        <w:t>：</w:t>
      </w:r>
      <w:r>
        <w:rPr>
          <w:rFonts w:hint="eastAsia" w:asciiTheme="minorEastAsia" w:hAnsiTheme="minorEastAsia" w:eastAsiaTheme="minorEastAsia" w:cstheme="minorEastAsia"/>
          <w:sz w:val="21"/>
          <w:szCs w:val="21"/>
        </w:rPr>
        <w:t>投标人的综合得分为以上商务技术分及价格分之和</w:t>
      </w:r>
      <w:r>
        <w:rPr>
          <w:sz w:val="21"/>
          <w:szCs w:val="21"/>
        </w:rPr>
        <w:t>。</w:t>
      </w:r>
    </w:p>
    <w:p>
      <w:pPr>
        <w:widowControl w:val="0"/>
        <w:numPr>
          <w:ilvl w:val="0"/>
          <w:numId w:val="0"/>
        </w:numPr>
        <w:jc w:val="left"/>
        <w:rPr>
          <w:sz w:val="24"/>
        </w:rPr>
      </w:pPr>
    </w:p>
    <w:p>
      <w:pPr>
        <w:widowControl w:val="0"/>
        <w:numPr>
          <w:ilvl w:val="0"/>
          <w:numId w:val="0"/>
        </w:numPr>
        <w:jc w:val="left"/>
        <w:rPr>
          <w:sz w:val="24"/>
        </w:rPr>
      </w:pPr>
    </w:p>
    <w:p>
      <w:pPr>
        <w:widowControl w:val="0"/>
        <w:numPr>
          <w:ilvl w:val="0"/>
          <w:numId w:val="0"/>
        </w:numPr>
        <w:jc w:val="left"/>
        <w:rPr>
          <w:sz w:val="24"/>
        </w:rPr>
      </w:pPr>
    </w:p>
    <w:p>
      <w:pPr>
        <w:widowControl w:val="0"/>
        <w:numPr>
          <w:ilvl w:val="0"/>
          <w:numId w:val="0"/>
        </w:numPr>
        <w:jc w:val="left"/>
        <w:rPr>
          <w:sz w:val="24"/>
        </w:rPr>
      </w:pPr>
    </w:p>
    <w:p>
      <w:pPr>
        <w:widowControl w:val="0"/>
        <w:numPr>
          <w:ilvl w:val="0"/>
          <w:numId w:val="0"/>
        </w:numPr>
        <w:jc w:val="left"/>
        <w:rPr>
          <w:sz w:val="24"/>
        </w:rPr>
      </w:pPr>
    </w:p>
    <w:p>
      <w:pPr>
        <w:pStyle w:val="8"/>
        <w:keepNext w:val="0"/>
        <w:keepLines w:val="0"/>
        <w:widowControl/>
        <w:numPr>
          <w:ilvl w:val="0"/>
          <w:numId w:val="0"/>
        </w:numPr>
        <w:suppressLineNumbers w:val="0"/>
        <w:spacing w:before="255" w:beforeAutospacing="0" w:after="255" w:afterAutospacing="0" w:line="300" w:lineRule="atLeast"/>
        <w:ind w:leftChars="0" w:right="0" w:rightChars="0"/>
        <w:jc w:val="both"/>
        <w:rPr>
          <w:rStyle w:val="14"/>
          <w:rFonts w:hint="eastAsia" w:eastAsia="宋体" w:asciiTheme="minorEastAsia" w:hAnsiTheme="minorEastAsia" w:cstheme="minorEastAsia"/>
          <w:b/>
          <w:bCs/>
          <w:kern w:val="2"/>
          <w:sz w:val="32"/>
          <w:szCs w:val="32"/>
          <w:lang w:val="en-US" w:eastAsia="zh-CN" w:bidi="ar-SA"/>
        </w:rPr>
      </w:pPr>
    </w:p>
    <w:p>
      <w:pPr>
        <w:pStyle w:val="8"/>
        <w:keepNext w:val="0"/>
        <w:keepLines w:val="0"/>
        <w:widowControl/>
        <w:numPr>
          <w:ilvl w:val="0"/>
          <w:numId w:val="0"/>
        </w:numPr>
        <w:suppressLineNumbers w:val="0"/>
        <w:spacing w:before="255" w:beforeAutospacing="0" w:after="255" w:afterAutospacing="0" w:line="300" w:lineRule="atLeast"/>
        <w:ind w:leftChars="0" w:right="0" w:rightChars="0"/>
        <w:jc w:val="both"/>
        <w:rPr>
          <w:rStyle w:val="14"/>
          <w:rFonts w:hint="eastAsia" w:eastAsia="宋体" w:asciiTheme="minorEastAsia" w:hAnsiTheme="minorEastAsia" w:cstheme="minorEastAsia"/>
          <w:b/>
          <w:bCs/>
          <w:kern w:val="2"/>
          <w:sz w:val="32"/>
          <w:szCs w:val="32"/>
          <w:lang w:val="en-US" w:eastAsia="zh-CN" w:bidi="ar-SA"/>
        </w:rPr>
      </w:pPr>
    </w:p>
    <w:p>
      <w:pPr>
        <w:pStyle w:val="8"/>
        <w:keepNext w:val="0"/>
        <w:keepLines w:val="0"/>
        <w:widowControl/>
        <w:numPr>
          <w:ilvl w:val="0"/>
          <w:numId w:val="0"/>
        </w:numPr>
        <w:suppressLineNumbers w:val="0"/>
        <w:spacing w:before="255" w:beforeAutospacing="0" w:after="255" w:afterAutospacing="0" w:line="300" w:lineRule="atLeast"/>
        <w:ind w:leftChars="0" w:right="0" w:rightChars="0"/>
        <w:jc w:val="both"/>
        <w:rPr>
          <w:rStyle w:val="14"/>
          <w:rFonts w:hint="eastAsia" w:eastAsia="宋体" w:asciiTheme="minorEastAsia" w:hAnsiTheme="minorEastAsia" w:cstheme="minorEastAsia"/>
          <w:b/>
          <w:bCs/>
          <w:kern w:val="2"/>
          <w:sz w:val="32"/>
          <w:szCs w:val="32"/>
          <w:lang w:val="en-US" w:eastAsia="zh-CN" w:bidi="ar-SA"/>
        </w:rPr>
      </w:pPr>
    </w:p>
    <w:p>
      <w:pPr>
        <w:pStyle w:val="8"/>
        <w:keepNext w:val="0"/>
        <w:keepLines w:val="0"/>
        <w:widowControl/>
        <w:numPr>
          <w:ilvl w:val="0"/>
          <w:numId w:val="0"/>
        </w:numPr>
        <w:suppressLineNumbers w:val="0"/>
        <w:spacing w:before="255" w:beforeAutospacing="0" w:after="255" w:afterAutospacing="0" w:line="300" w:lineRule="atLeast"/>
        <w:ind w:leftChars="0" w:right="0" w:rightChars="0"/>
        <w:jc w:val="both"/>
        <w:rPr>
          <w:rStyle w:val="14"/>
          <w:rFonts w:hint="eastAsia" w:eastAsia="宋体" w:asciiTheme="minorEastAsia" w:hAnsiTheme="minorEastAsia" w:cstheme="minorEastAsia"/>
          <w:b/>
          <w:bCs/>
          <w:kern w:val="2"/>
          <w:sz w:val="32"/>
          <w:szCs w:val="32"/>
          <w:lang w:val="en-US" w:eastAsia="zh-CN" w:bidi="ar-SA"/>
        </w:rPr>
      </w:pPr>
    </w:p>
    <w:p>
      <w:pPr>
        <w:pStyle w:val="8"/>
        <w:keepNext w:val="0"/>
        <w:keepLines w:val="0"/>
        <w:widowControl/>
        <w:numPr>
          <w:ilvl w:val="0"/>
          <w:numId w:val="0"/>
        </w:numPr>
        <w:suppressLineNumbers w:val="0"/>
        <w:spacing w:before="255" w:beforeAutospacing="0" w:after="255" w:afterAutospacing="0" w:line="300" w:lineRule="atLeast"/>
        <w:ind w:leftChars="0" w:right="0" w:rightChars="0"/>
        <w:jc w:val="both"/>
        <w:rPr>
          <w:rStyle w:val="14"/>
          <w:rFonts w:hint="eastAsia" w:eastAsia="宋体" w:asciiTheme="minorEastAsia" w:hAnsiTheme="minorEastAsia" w:cstheme="minorEastAsia"/>
          <w:b/>
          <w:bCs/>
          <w:kern w:val="2"/>
          <w:sz w:val="32"/>
          <w:szCs w:val="32"/>
          <w:lang w:val="en-US" w:eastAsia="zh-CN" w:bidi="ar-SA"/>
        </w:rPr>
      </w:pPr>
    </w:p>
    <w:p>
      <w:pPr>
        <w:pStyle w:val="8"/>
        <w:keepNext w:val="0"/>
        <w:keepLines w:val="0"/>
        <w:widowControl/>
        <w:numPr>
          <w:ilvl w:val="0"/>
          <w:numId w:val="0"/>
        </w:numPr>
        <w:suppressLineNumbers w:val="0"/>
        <w:spacing w:before="255" w:beforeAutospacing="0" w:after="255" w:afterAutospacing="0" w:line="300" w:lineRule="atLeast"/>
        <w:ind w:leftChars="0" w:right="0" w:rightChars="0"/>
        <w:jc w:val="both"/>
        <w:rPr>
          <w:rStyle w:val="14"/>
          <w:rFonts w:hint="eastAsia" w:eastAsia="宋体" w:asciiTheme="minorEastAsia" w:hAnsiTheme="minorEastAsia" w:cstheme="minorEastAsia"/>
          <w:b/>
          <w:bCs/>
          <w:kern w:val="2"/>
          <w:sz w:val="32"/>
          <w:szCs w:val="32"/>
          <w:lang w:val="en-US" w:eastAsia="zh-CN" w:bidi="ar-SA"/>
        </w:rPr>
      </w:pPr>
    </w:p>
    <w:p>
      <w:pPr>
        <w:pStyle w:val="8"/>
        <w:keepNext w:val="0"/>
        <w:keepLines w:val="0"/>
        <w:widowControl/>
        <w:numPr>
          <w:ilvl w:val="0"/>
          <w:numId w:val="0"/>
        </w:numPr>
        <w:suppressLineNumbers w:val="0"/>
        <w:spacing w:before="255" w:beforeAutospacing="0" w:after="255" w:afterAutospacing="0" w:line="300" w:lineRule="atLeast"/>
        <w:ind w:leftChars="0" w:right="0" w:rightChars="0"/>
        <w:jc w:val="both"/>
        <w:rPr>
          <w:rStyle w:val="14"/>
          <w:rFonts w:hint="eastAsia" w:eastAsia="宋体" w:asciiTheme="minorEastAsia" w:hAnsiTheme="minorEastAsia" w:cstheme="minorEastAsia"/>
          <w:b/>
          <w:bCs/>
          <w:kern w:val="2"/>
          <w:sz w:val="32"/>
          <w:szCs w:val="32"/>
          <w:lang w:val="en-US" w:eastAsia="zh-CN" w:bidi="ar-SA"/>
        </w:rPr>
      </w:pPr>
    </w:p>
    <w:p>
      <w:pPr>
        <w:pStyle w:val="8"/>
        <w:keepNext w:val="0"/>
        <w:keepLines w:val="0"/>
        <w:widowControl/>
        <w:numPr>
          <w:ilvl w:val="0"/>
          <w:numId w:val="0"/>
        </w:numPr>
        <w:suppressLineNumbers w:val="0"/>
        <w:spacing w:before="255" w:beforeAutospacing="0" w:after="255" w:afterAutospacing="0" w:line="300" w:lineRule="atLeast"/>
        <w:ind w:leftChars="0" w:right="0" w:rightChars="0"/>
        <w:jc w:val="both"/>
        <w:rPr>
          <w:rStyle w:val="14"/>
          <w:rFonts w:hint="eastAsia" w:eastAsia="宋体" w:asciiTheme="minorEastAsia" w:hAnsiTheme="minorEastAsia" w:cstheme="minorEastAsia"/>
          <w:b/>
          <w:bCs/>
          <w:kern w:val="2"/>
          <w:sz w:val="32"/>
          <w:szCs w:val="32"/>
          <w:lang w:val="en-US" w:eastAsia="zh-CN" w:bidi="ar-SA"/>
        </w:rPr>
      </w:pPr>
    </w:p>
    <w:p>
      <w:pPr>
        <w:pStyle w:val="8"/>
        <w:keepNext w:val="0"/>
        <w:keepLines w:val="0"/>
        <w:widowControl/>
        <w:numPr>
          <w:ilvl w:val="0"/>
          <w:numId w:val="0"/>
        </w:numPr>
        <w:suppressLineNumbers w:val="0"/>
        <w:spacing w:before="255" w:beforeAutospacing="0" w:after="255" w:afterAutospacing="0" w:line="300" w:lineRule="atLeast"/>
        <w:ind w:leftChars="0" w:right="0" w:rightChars="0"/>
        <w:jc w:val="both"/>
        <w:rPr>
          <w:rStyle w:val="14"/>
          <w:rFonts w:hint="eastAsia" w:eastAsia="宋体" w:asciiTheme="minorEastAsia" w:hAnsiTheme="minorEastAsia" w:cstheme="minorEastAsia"/>
          <w:b/>
          <w:bCs/>
          <w:kern w:val="2"/>
          <w:sz w:val="32"/>
          <w:szCs w:val="32"/>
          <w:lang w:val="en-US" w:eastAsia="zh-CN" w:bidi="ar-SA"/>
        </w:rPr>
      </w:pPr>
    </w:p>
    <w:p>
      <w:pPr>
        <w:pStyle w:val="8"/>
        <w:keepNext w:val="0"/>
        <w:keepLines w:val="0"/>
        <w:widowControl/>
        <w:numPr>
          <w:ilvl w:val="0"/>
          <w:numId w:val="0"/>
        </w:numPr>
        <w:suppressLineNumbers w:val="0"/>
        <w:spacing w:before="255" w:beforeAutospacing="0" w:after="255" w:afterAutospacing="0" w:line="300" w:lineRule="atLeast"/>
        <w:ind w:leftChars="0" w:right="0" w:rightChars="0"/>
        <w:jc w:val="both"/>
        <w:rPr>
          <w:rStyle w:val="14"/>
          <w:rFonts w:hint="eastAsia" w:eastAsia="宋体" w:asciiTheme="minorEastAsia" w:hAnsiTheme="minorEastAsia" w:cstheme="minorEastAsia"/>
          <w:b/>
          <w:bCs/>
          <w:kern w:val="2"/>
          <w:sz w:val="32"/>
          <w:szCs w:val="32"/>
          <w:lang w:val="en-US" w:eastAsia="zh-CN" w:bidi="ar-SA"/>
        </w:rPr>
      </w:pPr>
    </w:p>
    <w:p>
      <w:pPr>
        <w:pStyle w:val="8"/>
        <w:keepNext w:val="0"/>
        <w:keepLines w:val="0"/>
        <w:widowControl/>
        <w:numPr>
          <w:ilvl w:val="0"/>
          <w:numId w:val="0"/>
        </w:numPr>
        <w:suppressLineNumbers w:val="0"/>
        <w:spacing w:before="255" w:beforeAutospacing="0" w:after="255" w:afterAutospacing="0" w:line="300" w:lineRule="atLeast"/>
        <w:ind w:leftChars="0" w:right="0" w:rightChars="0"/>
        <w:jc w:val="both"/>
        <w:rPr>
          <w:rStyle w:val="14"/>
          <w:rFonts w:hint="eastAsia" w:eastAsia="宋体" w:asciiTheme="minorEastAsia" w:hAnsiTheme="minorEastAsia" w:cstheme="minorEastAsia"/>
          <w:b/>
          <w:bCs/>
          <w:kern w:val="2"/>
          <w:sz w:val="32"/>
          <w:szCs w:val="32"/>
          <w:lang w:val="en-US" w:eastAsia="zh-CN" w:bidi="ar-SA"/>
        </w:rPr>
      </w:pPr>
    </w:p>
    <w:p>
      <w:pPr>
        <w:pStyle w:val="8"/>
        <w:keepNext w:val="0"/>
        <w:keepLines w:val="0"/>
        <w:widowControl/>
        <w:numPr>
          <w:ilvl w:val="0"/>
          <w:numId w:val="0"/>
        </w:numPr>
        <w:suppressLineNumbers w:val="0"/>
        <w:spacing w:before="255" w:beforeAutospacing="0" w:after="255" w:afterAutospacing="0" w:line="300" w:lineRule="atLeast"/>
        <w:ind w:leftChars="0" w:right="0" w:rightChars="0"/>
        <w:jc w:val="both"/>
        <w:rPr>
          <w:rStyle w:val="14"/>
          <w:rFonts w:hint="default" w:eastAsia="宋体" w:asciiTheme="minorEastAsia" w:hAnsiTheme="minorEastAsia" w:cstheme="minorEastAsia"/>
          <w:b/>
          <w:bCs/>
          <w:kern w:val="2"/>
          <w:sz w:val="32"/>
          <w:szCs w:val="32"/>
          <w:lang w:val="en-US" w:eastAsia="zh-CN" w:bidi="ar-SA"/>
        </w:rPr>
      </w:pPr>
      <w:r>
        <w:rPr>
          <w:rStyle w:val="14"/>
          <w:rFonts w:hint="eastAsia" w:eastAsia="宋体" w:asciiTheme="minorEastAsia" w:hAnsiTheme="minorEastAsia" w:cstheme="minorEastAsia"/>
          <w:b/>
          <w:bCs/>
          <w:kern w:val="2"/>
          <w:sz w:val="32"/>
          <w:szCs w:val="32"/>
          <w:lang w:val="en-US" w:eastAsia="zh-CN" w:bidi="ar-SA"/>
        </w:rPr>
        <w:t>九、我院正式合同版本</w:t>
      </w:r>
    </w:p>
    <w:p>
      <w:pPr>
        <w:pStyle w:val="9"/>
        <w:rPr>
          <w:sz w:val="44"/>
        </w:rPr>
      </w:pPr>
      <w:r>
        <w:rPr>
          <w:rFonts w:hint="eastAsia"/>
          <w:sz w:val="44"/>
        </w:rPr>
        <w:t>温州市中医院医疗设备采购合同</w:t>
      </w:r>
    </w:p>
    <w:p>
      <w:pPr>
        <w:jc w:val="right"/>
        <w:rPr>
          <w:w w:val="95"/>
          <w:sz w:val="22"/>
          <w:szCs w:val="22"/>
        </w:rPr>
      </w:pPr>
      <w:r>
        <w:rPr>
          <w:rFonts w:hint="eastAsia"/>
          <w:w w:val="95"/>
        </w:rPr>
        <w:t xml:space="preserve">                                         </w:t>
      </w:r>
      <w:r>
        <w:rPr>
          <w:rFonts w:hint="eastAsia"/>
          <w:w w:val="95"/>
          <w:sz w:val="22"/>
          <w:szCs w:val="22"/>
        </w:rPr>
        <w:t xml:space="preserve"> </w:t>
      </w:r>
      <w:r>
        <w:rPr>
          <w:w w:val="95"/>
          <w:sz w:val="22"/>
          <w:szCs w:val="22"/>
        </w:rPr>
        <w:t>合同编号：</w:t>
      </w:r>
      <w:r>
        <w:rPr>
          <w:rFonts w:hint="eastAsia"/>
          <w:w w:val="95"/>
          <w:sz w:val="22"/>
          <w:szCs w:val="22"/>
        </w:rPr>
        <w:t xml:space="preserve">          </w:t>
      </w:r>
    </w:p>
    <w:p>
      <w:pPr>
        <w:spacing w:before="107" w:line="220" w:lineRule="atLeast"/>
        <w:ind w:left="105"/>
        <w:rPr>
          <w:b/>
          <w:sz w:val="22"/>
          <w:szCs w:val="22"/>
        </w:rPr>
      </w:pPr>
      <w:r>
        <w:rPr>
          <w:rFonts w:hint="eastAsia"/>
          <w:b/>
          <w:sz w:val="22"/>
          <w:szCs w:val="22"/>
        </w:rPr>
        <w:t>甲方（采购单位）：温州市中医院</w:t>
      </w:r>
    </w:p>
    <w:p>
      <w:pPr>
        <w:spacing w:before="107" w:line="220" w:lineRule="atLeast"/>
        <w:ind w:left="105"/>
        <w:rPr>
          <w:b/>
          <w:sz w:val="22"/>
          <w:szCs w:val="22"/>
        </w:rPr>
      </w:pPr>
      <w:r>
        <w:rPr>
          <w:b/>
          <w:sz w:val="22"/>
          <w:szCs w:val="22"/>
        </w:rPr>
        <w:t>乙方（供应商）：</w:t>
      </w:r>
      <w:r>
        <w:rPr>
          <w:rFonts w:hint="eastAsia"/>
          <w:b/>
          <w:sz w:val="22"/>
          <w:szCs w:val="22"/>
        </w:rPr>
        <w:t xml:space="preserve"> </w:t>
      </w:r>
    </w:p>
    <w:p>
      <w:pPr>
        <w:pStyle w:val="4"/>
        <w:spacing w:before="106"/>
        <w:ind w:left="111" w:right="209" w:firstLine="550" w:firstLineChars="250"/>
        <w:rPr>
          <w:color w:val="000000" w:themeColor="text1"/>
          <w:sz w:val="22"/>
          <w:szCs w:val="22"/>
          <w14:textFill>
            <w14:solidFill>
              <w14:schemeClr w14:val="tx1"/>
            </w14:solidFill>
          </w14:textFill>
        </w:rPr>
      </w:pPr>
      <w:r>
        <w:rPr>
          <w:sz w:val="22"/>
          <w:szCs w:val="22"/>
        </w:rPr>
        <w:t>根据《中华人民共</w:t>
      </w:r>
      <w:r>
        <w:rPr>
          <w:color w:val="000000" w:themeColor="text1"/>
          <w:sz w:val="22"/>
          <w:szCs w:val="22"/>
          <w14:textFill>
            <w14:solidFill>
              <w14:schemeClr w14:val="tx1"/>
            </w14:solidFill>
          </w14:textFill>
        </w:rPr>
        <w:t>和国政府采购法》、《中华人民共和国</w:t>
      </w:r>
      <w:r>
        <w:rPr>
          <w:rFonts w:hint="eastAsia"/>
          <w:color w:val="000000" w:themeColor="text1"/>
          <w:sz w:val="22"/>
          <w:szCs w:val="22"/>
          <w14:textFill>
            <w14:solidFill>
              <w14:schemeClr w14:val="tx1"/>
            </w14:solidFill>
          </w14:textFill>
        </w:rPr>
        <w:t>民法典</w:t>
      </w:r>
      <w:r>
        <w:rPr>
          <w:color w:val="000000" w:themeColor="text1"/>
          <w:sz w:val="22"/>
          <w:szCs w:val="22"/>
          <w14:textFill>
            <w14:solidFill>
              <w14:schemeClr w14:val="tx1"/>
            </w14:solidFill>
          </w14:textFill>
        </w:rPr>
        <w:t>》等相关法律法规，以及</w:t>
      </w:r>
      <w:r>
        <w:rPr>
          <w:rFonts w:hint="eastAsia"/>
          <w:color w:val="000000" w:themeColor="text1"/>
          <w:sz w:val="22"/>
          <w:szCs w:val="22"/>
          <w:u w:val="single"/>
          <w:lang w:val="en-US" w:eastAsia="zh-CN"/>
          <w14:textFill>
            <w14:solidFill>
              <w14:schemeClr w14:val="tx1"/>
            </w14:solidFill>
          </w14:textFill>
        </w:rPr>
        <w:t xml:space="preserve">         项</w:t>
      </w:r>
      <w:r>
        <w:rPr>
          <w:color w:val="000000" w:themeColor="text1"/>
          <w:sz w:val="22"/>
          <w:szCs w:val="22"/>
          <w14:textFill>
            <w14:solidFill>
              <w14:schemeClr w14:val="tx1"/>
            </w14:solidFill>
          </w14:textFill>
        </w:rPr>
        <w:t>目</w:t>
      </w:r>
      <w:r>
        <w:rPr>
          <w:rFonts w:hint="eastAsia"/>
          <w:color w:val="000000" w:themeColor="text1"/>
          <w:sz w:val="22"/>
          <w:szCs w:val="22"/>
          <w:u w:val="single"/>
          <w:lang w:val="en-US"/>
          <w14:textFill>
            <w14:solidFill>
              <w14:schemeClr w14:val="tx1"/>
            </w14:solidFill>
          </w14:textFill>
        </w:rPr>
        <w:t>(招标</w:t>
      </w:r>
      <w:r>
        <w:rPr>
          <w:color w:val="000000" w:themeColor="text1"/>
          <w:sz w:val="22"/>
          <w:szCs w:val="22"/>
          <w:u w:val="single"/>
          <w:lang w:val="en-US"/>
          <w14:textFill>
            <w14:solidFill>
              <w14:schemeClr w14:val="tx1"/>
            </w14:solidFill>
          </w14:textFill>
        </w:rPr>
        <w:t>编号</w:t>
      </w:r>
      <w:r>
        <w:rPr>
          <w:rFonts w:hint="eastAsia"/>
          <w:color w:val="000000" w:themeColor="text1"/>
          <w:sz w:val="22"/>
          <w:szCs w:val="22"/>
          <w:u w:val="single"/>
          <w:lang w:val="en-US" w:eastAsia="zh-CN"/>
          <w14:textFill>
            <w14:solidFill>
              <w14:schemeClr w14:val="tx1"/>
            </w14:solidFill>
          </w14:textFill>
        </w:rPr>
        <w:t xml:space="preserve">:      </w:t>
      </w:r>
      <w:r>
        <w:rPr>
          <w:rFonts w:hint="eastAsia"/>
          <w:color w:val="000000" w:themeColor="text1"/>
          <w:sz w:val="22"/>
          <w:szCs w:val="22"/>
          <w:u w:val="single"/>
          <w:lang w:val="en-US"/>
          <w14:textFill>
            <w14:solidFill>
              <w14:schemeClr w14:val="tx1"/>
            </w14:solidFill>
          </w14:textFill>
        </w:rPr>
        <w:t>)</w:t>
      </w:r>
      <w:r>
        <w:rPr>
          <w:color w:val="000000" w:themeColor="text1"/>
          <w:sz w:val="22"/>
          <w:szCs w:val="22"/>
          <w14:textFill>
            <w14:solidFill>
              <w14:schemeClr w14:val="tx1"/>
            </w14:solidFill>
          </w14:textFill>
        </w:rPr>
        <w:t>（以下简称</w:t>
      </w:r>
      <w:r>
        <w:rPr>
          <w:rFonts w:ascii="Verdana" w:hAnsi="Verdana" w:eastAsia="Verdana"/>
          <w:color w:val="000000" w:themeColor="text1"/>
          <w:sz w:val="22"/>
          <w:szCs w:val="22"/>
          <w14:textFill>
            <w14:solidFill>
              <w14:schemeClr w14:val="tx1"/>
            </w14:solidFill>
          </w14:textFill>
        </w:rPr>
        <w:t>“</w:t>
      </w:r>
      <w:r>
        <w:rPr>
          <w:color w:val="000000" w:themeColor="text1"/>
          <w:sz w:val="22"/>
          <w:szCs w:val="22"/>
          <w14:textFill>
            <w14:solidFill>
              <w14:schemeClr w14:val="tx1"/>
            </w14:solidFill>
          </w14:textFill>
        </w:rPr>
        <w:t>项目</w:t>
      </w:r>
      <w:r>
        <w:rPr>
          <w:rFonts w:ascii="Verdana" w:hAnsi="Verdana" w:eastAsia="Verdana"/>
          <w:color w:val="000000" w:themeColor="text1"/>
          <w:sz w:val="22"/>
          <w:szCs w:val="22"/>
          <w14:textFill>
            <w14:solidFill>
              <w14:schemeClr w14:val="tx1"/>
            </w14:solidFill>
          </w14:textFill>
        </w:rPr>
        <w:t>”</w:t>
      </w:r>
      <w:r>
        <w:rPr>
          <w:color w:val="000000" w:themeColor="text1"/>
          <w:sz w:val="22"/>
          <w:szCs w:val="22"/>
          <w14:textFill>
            <w14:solidFill>
              <w14:schemeClr w14:val="tx1"/>
            </w14:solidFill>
          </w14:textFill>
        </w:rPr>
        <w:t>）招标文件、中标供应商投标文件、项目采购协议，或入围承诺书，甲乙双方经协商一致，签署本合同。</w:t>
      </w:r>
    </w:p>
    <w:p>
      <w:pPr>
        <w:pStyle w:val="3"/>
        <w:numPr>
          <w:ilvl w:val="0"/>
          <w:numId w:val="0"/>
        </w:numPr>
        <w:spacing w:before="84" w:after="13"/>
        <w:ind w:left="105" w:leftChars="0"/>
        <w:rPr>
          <w:color w:val="000000" w:themeColor="text1"/>
          <w:sz w:val="22"/>
          <w:szCs w:val="22"/>
          <w14:textFill>
            <w14:solidFill>
              <w14:schemeClr w14:val="tx1"/>
            </w14:solidFill>
          </w14:textFill>
        </w:rPr>
      </w:pPr>
      <w:r>
        <w:rPr>
          <w:rFonts w:hint="eastAsia"/>
          <w:color w:val="000000" w:themeColor="text1"/>
          <w:sz w:val="22"/>
          <w:szCs w:val="22"/>
          <w:lang w:eastAsia="zh-CN"/>
          <w14:textFill>
            <w14:solidFill>
              <w14:schemeClr w14:val="tx1"/>
            </w14:solidFill>
          </w14:textFill>
        </w:rPr>
        <w:t>一、</w:t>
      </w:r>
      <w:r>
        <w:rPr>
          <w:color w:val="000000" w:themeColor="text1"/>
          <w:sz w:val="22"/>
          <w:szCs w:val="22"/>
          <w14:textFill>
            <w14:solidFill>
              <w14:schemeClr w14:val="tx1"/>
            </w14:solidFill>
          </w14:textFill>
        </w:rPr>
        <w:t>货物内容及合同价格</w:t>
      </w:r>
    </w:p>
    <w:tbl>
      <w:tblPr>
        <w:tblStyle w:val="11"/>
        <w:tblW w:w="9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13"/>
        <w:gridCol w:w="1418"/>
        <w:gridCol w:w="1559"/>
        <w:gridCol w:w="2126"/>
        <w:gridCol w:w="993"/>
        <w:gridCol w:w="13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 w:hRule="atLeast"/>
          <w:jc w:val="center"/>
        </w:trPr>
        <w:tc>
          <w:tcPr>
            <w:tcW w:w="1813" w:type="dxa"/>
            <w:vAlign w:val="center"/>
          </w:tcPr>
          <w:p>
            <w:pPr>
              <w:pStyle w:val="19"/>
              <w:spacing w:before="116"/>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货物名称</w:t>
            </w:r>
          </w:p>
        </w:tc>
        <w:tc>
          <w:tcPr>
            <w:tcW w:w="1418" w:type="dxa"/>
            <w:vAlign w:val="center"/>
          </w:tcPr>
          <w:p>
            <w:pPr>
              <w:pStyle w:val="19"/>
              <w:spacing w:before="116"/>
              <w:ind w:right="276"/>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品牌</w:t>
            </w:r>
          </w:p>
        </w:tc>
        <w:tc>
          <w:tcPr>
            <w:tcW w:w="1559" w:type="dxa"/>
            <w:vAlign w:val="center"/>
          </w:tcPr>
          <w:p>
            <w:pPr>
              <w:pStyle w:val="19"/>
              <w:spacing w:before="116"/>
              <w:ind w:left="287" w:right="276"/>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型号规格</w:t>
            </w:r>
          </w:p>
        </w:tc>
        <w:tc>
          <w:tcPr>
            <w:tcW w:w="2126" w:type="dxa"/>
            <w:vAlign w:val="center"/>
          </w:tcPr>
          <w:p>
            <w:pPr>
              <w:pStyle w:val="19"/>
              <w:spacing w:before="116"/>
              <w:ind w:left="71" w:right="61"/>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配置要求</w:t>
            </w:r>
          </w:p>
        </w:tc>
        <w:tc>
          <w:tcPr>
            <w:tcW w:w="993" w:type="dxa"/>
            <w:vAlign w:val="center"/>
          </w:tcPr>
          <w:p>
            <w:pPr>
              <w:pStyle w:val="19"/>
              <w:spacing w:before="116"/>
              <w:ind w:left="71" w:right="61"/>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数量</w:t>
            </w:r>
          </w:p>
        </w:tc>
        <w:tc>
          <w:tcPr>
            <w:tcW w:w="1353" w:type="dxa"/>
            <w:vAlign w:val="center"/>
          </w:tcPr>
          <w:p>
            <w:pPr>
              <w:pStyle w:val="19"/>
              <w:spacing w:before="116"/>
              <w:ind w:left="71" w:right="62"/>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单价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813" w:type="dxa"/>
            <w:vAlign w:val="center"/>
          </w:tcPr>
          <w:p>
            <w:pPr>
              <w:pStyle w:val="19"/>
              <w:jc w:val="center"/>
              <w:rPr>
                <w:b/>
                <w:color w:val="000000" w:themeColor="text1"/>
                <w:sz w:val="22"/>
                <w:szCs w:val="22"/>
                <w:lang w:val="en-US"/>
                <w14:textFill>
                  <w14:solidFill>
                    <w14:schemeClr w14:val="tx1"/>
                  </w14:solidFill>
                </w14:textFill>
              </w:rPr>
            </w:pPr>
          </w:p>
        </w:tc>
        <w:tc>
          <w:tcPr>
            <w:tcW w:w="1418" w:type="dxa"/>
            <w:vAlign w:val="center"/>
          </w:tcPr>
          <w:p>
            <w:pPr>
              <w:pStyle w:val="19"/>
              <w:jc w:val="center"/>
              <w:rPr>
                <w:b/>
                <w:color w:val="000000" w:themeColor="text1"/>
                <w:sz w:val="22"/>
                <w:szCs w:val="22"/>
                <w:lang w:val="en-US"/>
                <w14:textFill>
                  <w14:solidFill>
                    <w14:schemeClr w14:val="tx1"/>
                  </w14:solidFill>
                </w14:textFill>
              </w:rPr>
            </w:pPr>
          </w:p>
        </w:tc>
        <w:tc>
          <w:tcPr>
            <w:tcW w:w="1559" w:type="dxa"/>
            <w:vAlign w:val="center"/>
          </w:tcPr>
          <w:p>
            <w:pPr>
              <w:pStyle w:val="19"/>
              <w:jc w:val="center"/>
              <w:rPr>
                <w:b/>
                <w:color w:val="000000" w:themeColor="text1"/>
                <w:sz w:val="22"/>
                <w:szCs w:val="22"/>
                <w:lang w:val="en-US"/>
                <w14:textFill>
                  <w14:solidFill>
                    <w14:schemeClr w14:val="tx1"/>
                  </w14:solidFill>
                </w14:textFill>
              </w:rPr>
            </w:pPr>
          </w:p>
        </w:tc>
        <w:tc>
          <w:tcPr>
            <w:tcW w:w="2126" w:type="dxa"/>
            <w:vAlign w:val="center"/>
          </w:tcPr>
          <w:p>
            <w:pPr>
              <w:pStyle w:val="19"/>
              <w:jc w:val="center"/>
              <w:rPr>
                <w:rFonts w:ascii="Verdana"/>
                <w:color w:val="000000" w:themeColor="text1"/>
                <w:sz w:val="22"/>
                <w:szCs w:val="22"/>
                <w14:textFill>
                  <w14:solidFill>
                    <w14:schemeClr w14:val="tx1"/>
                  </w14:solidFill>
                </w14:textFill>
              </w:rPr>
            </w:pPr>
          </w:p>
        </w:tc>
        <w:tc>
          <w:tcPr>
            <w:tcW w:w="993" w:type="dxa"/>
            <w:vAlign w:val="center"/>
          </w:tcPr>
          <w:p>
            <w:pPr>
              <w:pStyle w:val="19"/>
              <w:jc w:val="center"/>
              <w:rPr>
                <w:rFonts w:ascii="Verdana"/>
                <w:color w:val="000000" w:themeColor="text1"/>
                <w:sz w:val="22"/>
                <w:szCs w:val="22"/>
                <w14:textFill>
                  <w14:solidFill>
                    <w14:schemeClr w14:val="tx1"/>
                  </w14:solidFill>
                </w14:textFill>
              </w:rPr>
            </w:pPr>
          </w:p>
        </w:tc>
        <w:tc>
          <w:tcPr>
            <w:tcW w:w="1353" w:type="dxa"/>
            <w:vAlign w:val="center"/>
          </w:tcPr>
          <w:p>
            <w:pPr>
              <w:pStyle w:val="19"/>
              <w:jc w:val="center"/>
              <w:rPr>
                <w:rFonts w:ascii="Verdana"/>
                <w:color w:val="000000" w:themeColor="text1"/>
                <w:sz w:val="22"/>
                <w:szCs w:val="22"/>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813" w:type="dxa"/>
            <w:vAlign w:val="center"/>
          </w:tcPr>
          <w:p>
            <w:pPr>
              <w:pStyle w:val="19"/>
              <w:jc w:val="center"/>
              <w:rPr>
                <w:b/>
                <w:color w:val="000000" w:themeColor="text1"/>
                <w:sz w:val="22"/>
                <w:szCs w:val="22"/>
                <w:lang w:val="en-US"/>
                <w14:textFill>
                  <w14:solidFill>
                    <w14:schemeClr w14:val="tx1"/>
                  </w14:solidFill>
                </w14:textFill>
              </w:rPr>
            </w:pPr>
          </w:p>
        </w:tc>
        <w:tc>
          <w:tcPr>
            <w:tcW w:w="1418" w:type="dxa"/>
            <w:vAlign w:val="center"/>
          </w:tcPr>
          <w:p>
            <w:pPr>
              <w:pStyle w:val="19"/>
              <w:jc w:val="center"/>
              <w:rPr>
                <w:b/>
                <w:color w:val="000000" w:themeColor="text1"/>
                <w:sz w:val="22"/>
                <w:szCs w:val="22"/>
                <w:lang w:val="en-US"/>
                <w14:textFill>
                  <w14:solidFill>
                    <w14:schemeClr w14:val="tx1"/>
                  </w14:solidFill>
                </w14:textFill>
              </w:rPr>
            </w:pPr>
          </w:p>
        </w:tc>
        <w:tc>
          <w:tcPr>
            <w:tcW w:w="1559" w:type="dxa"/>
            <w:vAlign w:val="center"/>
          </w:tcPr>
          <w:p>
            <w:pPr>
              <w:pStyle w:val="19"/>
              <w:jc w:val="center"/>
              <w:rPr>
                <w:b/>
                <w:color w:val="000000" w:themeColor="text1"/>
                <w:sz w:val="22"/>
                <w:szCs w:val="22"/>
                <w:lang w:val="en-US"/>
                <w14:textFill>
                  <w14:solidFill>
                    <w14:schemeClr w14:val="tx1"/>
                  </w14:solidFill>
                </w14:textFill>
              </w:rPr>
            </w:pPr>
          </w:p>
        </w:tc>
        <w:tc>
          <w:tcPr>
            <w:tcW w:w="2126" w:type="dxa"/>
            <w:vAlign w:val="center"/>
          </w:tcPr>
          <w:p>
            <w:pPr>
              <w:pStyle w:val="19"/>
              <w:jc w:val="center"/>
              <w:rPr>
                <w:rFonts w:ascii="Verdana"/>
                <w:color w:val="000000" w:themeColor="text1"/>
                <w:sz w:val="22"/>
                <w:szCs w:val="22"/>
                <w14:textFill>
                  <w14:solidFill>
                    <w14:schemeClr w14:val="tx1"/>
                  </w14:solidFill>
                </w14:textFill>
              </w:rPr>
            </w:pPr>
          </w:p>
        </w:tc>
        <w:tc>
          <w:tcPr>
            <w:tcW w:w="993" w:type="dxa"/>
            <w:vAlign w:val="center"/>
          </w:tcPr>
          <w:p>
            <w:pPr>
              <w:pStyle w:val="19"/>
              <w:jc w:val="center"/>
              <w:rPr>
                <w:rFonts w:ascii="Verdana"/>
                <w:color w:val="000000" w:themeColor="text1"/>
                <w:sz w:val="22"/>
                <w:szCs w:val="22"/>
                <w14:textFill>
                  <w14:solidFill>
                    <w14:schemeClr w14:val="tx1"/>
                  </w14:solidFill>
                </w14:textFill>
              </w:rPr>
            </w:pPr>
          </w:p>
        </w:tc>
        <w:tc>
          <w:tcPr>
            <w:tcW w:w="1353" w:type="dxa"/>
            <w:vAlign w:val="center"/>
          </w:tcPr>
          <w:p>
            <w:pPr>
              <w:pStyle w:val="19"/>
              <w:jc w:val="center"/>
              <w:rPr>
                <w:rFonts w:ascii="Verdana"/>
                <w:color w:val="000000" w:themeColor="text1"/>
                <w:sz w:val="22"/>
                <w:szCs w:val="22"/>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jc w:val="center"/>
        </w:trPr>
        <w:tc>
          <w:tcPr>
            <w:tcW w:w="9262" w:type="dxa"/>
            <w:gridSpan w:val="6"/>
          </w:tcPr>
          <w:p>
            <w:pPr>
              <w:pStyle w:val="19"/>
              <w:spacing w:before="116"/>
              <w:ind w:left="0" w:leftChars="0" w:firstLine="0" w:firstLineChars="0"/>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合同总价大写</w:t>
            </w:r>
            <w:r>
              <w:rPr>
                <w:rFonts w:hint="eastAsia"/>
                <w:color w:val="000000" w:themeColor="text1"/>
                <w:sz w:val="22"/>
                <w:szCs w:val="22"/>
                <w:lang w:val="en-US"/>
                <w14:textFill>
                  <w14:solidFill>
                    <w14:schemeClr w14:val="tx1"/>
                  </w14:solidFill>
                </w14:textFill>
              </w:rPr>
              <w:t xml:space="preserve">: </w:t>
            </w:r>
            <w:r>
              <w:rPr>
                <w:rFonts w:hint="eastAsia"/>
                <w:color w:val="000000" w:themeColor="text1"/>
                <w:sz w:val="22"/>
                <w:szCs w:val="22"/>
                <w14:textFill>
                  <w14:solidFill>
                    <w14:schemeClr w14:val="tx1"/>
                  </w14:solidFill>
                </w14:textFill>
              </w:rPr>
              <w:t xml:space="preserve">元整                           </w:t>
            </w:r>
            <w:r>
              <w:rPr>
                <w:color w:val="000000" w:themeColor="text1"/>
                <w:sz w:val="22"/>
                <w:szCs w:val="22"/>
                <w14:textFill>
                  <w14:solidFill>
                    <w14:schemeClr w14:val="tx1"/>
                  </w14:solidFill>
                </w14:textFill>
              </w:rPr>
              <w:t>小写：￥</w:t>
            </w:r>
          </w:p>
        </w:tc>
      </w:tr>
    </w:tbl>
    <w:p>
      <w:pPr>
        <w:ind w:right="1636"/>
        <w:jc w:val="righ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金额单位：元</w:t>
      </w:r>
    </w:p>
    <w:p>
      <w:pPr>
        <w:pStyle w:val="4"/>
        <w:spacing w:line="0" w:lineRule="atLeast"/>
        <w:ind w:right="21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注：1、商品型号、数量、配置要求及使用单位地址等详见附件清单</w:t>
      </w:r>
    </w:p>
    <w:p>
      <w:pPr>
        <w:pStyle w:val="4"/>
        <w:spacing w:line="0" w:lineRule="atLeast"/>
        <w:ind w:left="105" w:right="21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 xml:space="preserve">   2、以上合同总价包含货物到达</w:t>
      </w:r>
      <w:r>
        <w:rPr>
          <w:rFonts w:hint="eastAsia"/>
          <w:color w:val="000000" w:themeColor="text1"/>
          <w:sz w:val="22"/>
          <w:szCs w:val="22"/>
          <w:lang w:eastAsia="zh-CN"/>
          <w14:textFill>
            <w14:solidFill>
              <w14:schemeClr w14:val="tx1"/>
            </w14:solidFill>
          </w14:textFill>
        </w:rPr>
        <w:t>甲方</w:t>
      </w:r>
      <w:r>
        <w:rPr>
          <w:rFonts w:hint="eastAsia"/>
          <w:color w:val="000000" w:themeColor="text1"/>
          <w:sz w:val="22"/>
          <w:szCs w:val="22"/>
          <w14:textFill>
            <w14:solidFill>
              <w14:schemeClr w14:val="tx1"/>
            </w14:solidFill>
          </w14:textFill>
        </w:rPr>
        <w:t>并能正常使用所需的一切费用，包括但不限于包装费、运输费、装卸费、保险费、安装调试费、技术服务费、培训费以及保修费、税费等。</w:t>
      </w:r>
    </w:p>
    <w:p>
      <w:pPr>
        <w:pStyle w:val="3"/>
        <w:spacing w:before="8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二、技术资料</w:t>
      </w:r>
    </w:p>
    <w:p>
      <w:pPr>
        <w:pStyle w:val="20"/>
        <w:numPr>
          <w:ilvl w:val="0"/>
          <w:numId w:val="0"/>
        </w:numPr>
        <w:tabs>
          <w:tab w:val="left" w:pos="522"/>
        </w:tabs>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乙方应按招标文件规定的时间向甲方提供使用货物的有关技术资料。</w:t>
      </w:r>
    </w:p>
    <w:p>
      <w:pPr>
        <w:pStyle w:val="20"/>
        <w:numPr>
          <w:ilvl w:val="0"/>
          <w:numId w:val="0"/>
        </w:numPr>
        <w:tabs>
          <w:tab w:val="left" w:pos="522"/>
        </w:tabs>
        <w:ind w:left="351" w:leftChars="0" w:right="101" w:righ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
        <w:spacing w:before="8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三、知识产权</w:t>
      </w:r>
    </w:p>
    <w:p>
      <w:pPr>
        <w:pStyle w:val="4"/>
        <w:spacing w:before="22"/>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乙方应保证所提供的货物或其任何一部分均不会侵犯任何第三方的知识产权。</w:t>
      </w:r>
    </w:p>
    <w:p>
      <w:pPr>
        <w:pStyle w:val="3"/>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四、产权担保</w:t>
      </w:r>
    </w:p>
    <w:p>
      <w:pPr>
        <w:pStyle w:val="4"/>
        <w:spacing w:before="23"/>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乙方保证所交付的货物的所有权完全属于乙方且无任何抵押、查封等产权瑕疵。</w:t>
      </w:r>
    </w:p>
    <w:p>
      <w:pPr>
        <w:pStyle w:val="3"/>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五、转包或分包</w:t>
      </w:r>
    </w:p>
    <w:p>
      <w:pPr>
        <w:pStyle w:val="4"/>
        <w:spacing w:before="22"/>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本合同范围的货物，应由乙方直接供应，不得转让他人供应，否则，甲方有权解除合同并追究乙方的违约责任。</w:t>
      </w:r>
    </w:p>
    <w:p>
      <w:pPr>
        <w:pStyle w:val="3"/>
        <w:spacing w:before="107"/>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六、质保期</w:t>
      </w:r>
    </w:p>
    <w:p>
      <w:pPr>
        <w:pStyle w:val="20"/>
        <w:numPr>
          <w:ilvl w:val="0"/>
          <w:numId w:val="0"/>
        </w:numPr>
        <w:tabs>
          <w:tab w:val="left" w:pos="522"/>
        </w:tabs>
        <w:ind w:left="351" w:leftChars="0"/>
        <w:rPr>
          <w:color w:val="000000" w:themeColor="text1"/>
          <w:sz w:val="22"/>
          <w:szCs w:val="22"/>
          <w:highlight w:val="none"/>
          <w14:textFill>
            <w14:solidFill>
              <w14:schemeClr w14:val="tx1"/>
            </w14:solidFill>
          </w14:textFill>
        </w:rPr>
      </w:pPr>
      <w:r>
        <w:rPr>
          <w:color w:val="000000" w:themeColor="text1"/>
          <w:spacing w:val="-6"/>
          <w:sz w:val="22"/>
          <w:szCs w:val="22"/>
          <w:highlight w:val="none"/>
          <w14:textFill>
            <w14:solidFill>
              <w14:schemeClr w14:val="tx1"/>
            </w14:solidFill>
          </w14:textFill>
        </w:rPr>
        <w:t>质保期为</w:t>
      </w:r>
      <w:r>
        <w:rPr>
          <w:rFonts w:hint="eastAsia"/>
          <w:color w:val="000000" w:themeColor="text1"/>
          <w:spacing w:val="-6"/>
          <w:sz w:val="22"/>
          <w:szCs w:val="22"/>
          <w:highlight w:val="none"/>
          <w:u w:val="single"/>
          <w:lang w:val="en-US"/>
          <w14:textFill>
            <w14:solidFill>
              <w14:schemeClr w14:val="tx1"/>
            </w14:solidFill>
          </w14:textFill>
        </w:rPr>
        <w:t xml:space="preserve">    </w:t>
      </w:r>
      <w:r>
        <w:rPr>
          <w:rFonts w:hint="eastAsia"/>
          <w:color w:val="000000" w:themeColor="text1"/>
          <w:spacing w:val="-6"/>
          <w:sz w:val="22"/>
          <w:szCs w:val="22"/>
          <w:highlight w:val="none"/>
          <w:lang w:val="en-US"/>
          <w14:textFill>
            <w14:solidFill>
              <w14:schemeClr w14:val="tx1"/>
            </w14:solidFill>
          </w14:textFill>
        </w:rPr>
        <w:t>年</w:t>
      </w:r>
      <w:r>
        <w:rPr>
          <w:color w:val="000000" w:themeColor="text1"/>
          <w:sz w:val="22"/>
          <w:szCs w:val="22"/>
          <w:highlight w:val="none"/>
          <w14:textFill>
            <w14:solidFill>
              <w14:schemeClr w14:val="tx1"/>
            </w14:solidFill>
          </w14:textFill>
        </w:rPr>
        <w:t>。（自交货验收合格之日起计）</w:t>
      </w:r>
    </w:p>
    <w:p>
      <w:pPr>
        <w:pStyle w:val="3"/>
        <w:spacing w:before="0"/>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七、交货期、交货方式及交货地点</w:t>
      </w:r>
    </w:p>
    <w:p>
      <w:pPr>
        <w:pStyle w:val="20"/>
        <w:numPr>
          <w:ilvl w:val="0"/>
          <w:numId w:val="0"/>
        </w:numPr>
        <w:tabs>
          <w:tab w:val="left" w:pos="522"/>
        </w:tabs>
        <w:spacing w:before="22"/>
        <w:ind w:left="351" w:leftChars="0"/>
        <w:rPr>
          <w:rFonts w:hint="eastAsia" w:eastAsia="宋体"/>
          <w:color w:val="000000" w:themeColor="text1"/>
          <w:sz w:val="22"/>
          <w:szCs w:val="22"/>
          <w:highlight w:val="none"/>
          <w:lang w:eastAsia="zh-CN"/>
          <w14:textFill>
            <w14:solidFill>
              <w14:schemeClr w14:val="tx1"/>
            </w14:solidFill>
          </w14:textFill>
        </w:rPr>
      </w:pPr>
      <w:r>
        <w:rPr>
          <w:rFonts w:hint="eastAsia"/>
          <w:color w:val="000000" w:themeColor="text1"/>
          <w:spacing w:val="-3"/>
          <w:sz w:val="22"/>
          <w:szCs w:val="22"/>
          <w:highlight w:val="none"/>
          <w:lang w:val="en-US" w:eastAsia="zh-CN"/>
          <w14:textFill>
            <w14:solidFill>
              <w14:schemeClr w14:val="tx1"/>
            </w14:solidFill>
          </w14:textFill>
        </w:rPr>
        <w:t>1、</w:t>
      </w:r>
      <w:r>
        <w:rPr>
          <w:color w:val="000000" w:themeColor="text1"/>
          <w:spacing w:val="-3"/>
          <w:sz w:val="22"/>
          <w:szCs w:val="22"/>
          <w:highlight w:val="none"/>
          <w14:textFill>
            <w14:solidFill>
              <w14:schemeClr w14:val="tx1"/>
            </w14:solidFill>
          </w14:textFill>
        </w:rPr>
        <w:t>交货期：合同签订后</w:t>
      </w:r>
      <w:r>
        <w:rPr>
          <w:rFonts w:hint="eastAsia"/>
          <w:color w:val="000000" w:themeColor="text1"/>
          <w:spacing w:val="-3"/>
          <w:sz w:val="22"/>
          <w:szCs w:val="22"/>
          <w:highlight w:val="none"/>
          <w:u w:val="single"/>
          <w:lang w:val="en-US" w:eastAsia="zh-CN"/>
          <w14:textFill>
            <w14:solidFill>
              <w14:schemeClr w14:val="tx1"/>
            </w14:solidFill>
          </w14:textFill>
        </w:rPr>
        <w:t xml:space="preserve">   </w:t>
      </w:r>
      <w:r>
        <w:rPr>
          <w:color w:val="000000" w:themeColor="text1"/>
          <w:sz w:val="22"/>
          <w:szCs w:val="22"/>
          <w:highlight w:val="none"/>
          <w14:textFill>
            <w14:solidFill>
              <w14:schemeClr w14:val="tx1"/>
            </w14:solidFill>
          </w14:textFill>
        </w:rPr>
        <w:t>日</w:t>
      </w:r>
      <w:r>
        <w:rPr>
          <w:rFonts w:hint="eastAsia"/>
          <w:color w:val="000000" w:themeColor="text1"/>
          <w:sz w:val="22"/>
          <w:szCs w:val="22"/>
          <w:highlight w:val="none"/>
          <w:lang w:eastAsia="zh-CN"/>
          <w14:textFill>
            <w14:solidFill>
              <w14:schemeClr w14:val="tx1"/>
            </w14:solidFill>
          </w14:textFill>
        </w:rPr>
        <w:t>内</w:t>
      </w:r>
    </w:p>
    <w:p>
      <w:pPr>
        <w:pStyle w:val="20"/>
        <w:numPr>
          <w:ilvl w:val="0"/>
          <w:numId w:val="0"/>
        </w:numPr>
        <w:tabs>
          <w:tab w:val="left" w:pos="522"/>
        </w:tabs>
        <w:ind w:left="351" w:leftChars="0"/>
        <w:rPr>
          <w:color w:val="000000" w:themeColor="text1"/>
          <w:sz w:val="22"/>
          <w:szCs w:val="22"/>
          <w:highlight w:val="none"/>
          <w14:textFill>
            <w14:solidFill>
              <w14:schemeClr w14:val="tx1"/>
            </w14:solidFill>
          </w14:textFill>
        </w:rPr>
      </w:pPr>
      <w:r>
        <w:rPr>
          <w:rFonts w:hint="eastAsia"/>
          <w:color w:val="000000" w:themeColor="text1"/>
          <w:spacing w:val="-5"/>
          <w:sz w:val="22"/>
          <w:szCs w:val="22"/>
          <w:highlight w:val="none"/>
          <w:lang w:val="en-US" w:eastAsia="zh-CN"/>
          <w14:textFill>
            <w14:solidFill>
              <w14:schemeClr w14:val="tx1"/>
            </w14:solidFill>
          </w14:textFill>
        </w:rPr>
        <w:t>2、</w:t>
      </w:r>
      <w:r>
        <w:rPr>
          <w:color w:val="000000" w:themeColor="text1"/>
          <w:spacing w:val="-5"/>
          <w:sz w:val="22"/>
          <w:szCs w:val="22"/>
          <w:highlight w:val="none"/>
          <w14:textFill>
            <w14:solidFill>
              <w14:schemeClr w14:val="tx1"/>
            </w14:solidFill>
          </w14:textFill>
        </w:rPr>
        <w:t>交货方式：</w:t>
      </w:r>
      <w:r>
        <w:rPr>
          <w:rFonts w:hint="eastAsia"/>
          <w:color w:val="000000" w:themeColor="text1"/>
          <w:spacing w:val="-5"/>
          <w:sz w:val="22"/>
          <w:szCs w:val="22"/>
          <w:highlight w:val="none"/>
          <w14:textFill>
            <w14:solidFill>
              <w14:schemeClr w14:val="tx1"/>
            </w14:solidFill>
          </w14:textFill>
        </w:rPr>
        <w:t>按甲方指定地点</w:t>
      </w:r>
      <w:r>
        <w:rPr>
          <w:color w:val="000000" w:themeColor="text1"/>
          <w:sz w:val="22"/>
          <w:szCs w:val="22"/>
          <w:highlight w:val="none"/>
          <w14:textFill>
            <w14:solidFill>
              <w14:schemeClr w14:val="tx1"/>
            </w14:solidFill>
          </w14:textFill>
        </w:rPr>
        <w:t>送货上门</w:t>
      </w:r>
    </w:p>
    <w:p>
      <w:pPr>
        <w:pStyle w:val="20"/>
        <w:numPr>
          <w:ilvl w:val="0"/>
          <w:numId w:val="0"/>
        </w:numPr>
        <w:ind w:left="351" w:leftChars="0"/>
        <w:rPr>
          <w:rFonts w:hint="eastAsia" w:eastAsia="宋体"/>
          <w:color w:val="000000" w:themeColor="text1"/>
          <w:sz w:val="22"/>
          <w:szCs w:val="22"/>
          <w:highlight w:val="none"/>
          <w:lang w:eastAsia="zh-CN"/>
          <w14:textFill>
            <w14:solidFill>
              <w14:schemeClr w14:val="tx1"/>
            </w14:solidFill>
          </w14:textFill>
        </w:rPr>
      </w:pPr>
      <w:r>
        <w:rPr>
          <w:rFonts w:hint="eastAsia"/>
          <w:color w:val="000000" w:themeColor="text1"/>
          <w:spacing w:val="-11"/>
          <w:sz w:val="22"/>
          <w:szCs w:val="22"/>
          <w:highlight w:val="none"/>
          <w:lang w:val="en-US" w:eastAsia="zh-CN"/>
          <w14:textFill>
            <w14:solidFill>
              <w14:schemeClr w14:val="tx1"/>
            </w14:solidFill>
          </w14:textFill>
        </w:rPr>
        <w:t>3、</w:t>
      </w:r>
      <w:r>
        <w:rPr>
          <w:color w:val="000000" w:themeColor="text1"/>
          <w:spacing w:val="-11"/>
          <w:sz w:val="22"/>
          <w:szCs w:val="22"/>
          <w:highlight w:val="none"/>
          <w14:textFill>
            <w14:solidFill>
              <w14:schemeClr w14:val="tx1"/>
            </w14:solidFill>
          </w14:textFill>
        </w:rPr>
        <w:t>交货地点：</w:t>
      </w:r>
      <w:r>
        <w:rPr>
          <w:rFonts w:hint="eastAsia"/>
          <w:color w:val="000000" w:themeColor="text1"/>
          <w:sz w:val="22"/>
          <w:szCs w:val="22"/>
          <w:highlight w:val="none"/>
          <w:lang w:eastAsia="zh-CN"/>
          <w14:textFill>
            <w14:solidFill>
              <w14:schemeClr w14:val="tx1"/>
            </w14:solidFill>
          </w14:textFill>
        </w:rPr>
        <w:t>甲方指定地点</w:t>
      </w:r>
    </w:p>
    <w:p>
      <w:pPr>
        <w:tabs>
          <w:tab w:val="left" w:pos="522"/>
        </w:tabs>
        <w:ind w:left="105" w:right="5480"/>
        <w:rPr>
          <w:b/>
          <w:bCs/>
          <w:color w:val="000000" w:themeColor="text1"/>
          <w:sz w:val="22"/>
          <w:szCs w:val="22"/>
          <w:highlight w:val="none"/>
          <w14:textFill>
            <w14:solidFill>
              <w14:schemeClr w14:val="tx1"/>
            </w14:solidFill>
          </w14:textFill>
        </w:rPr>
      </w:pPr>
      <w:r>
        <w:rPr>
          <w:b/>
          <w:color w:val="000000" w:themeColor="text1"/>
          <w:spacing w:val="10"/>
          <w:sz w:val="22"/>
          <w:szCs w:val="22"/>
          <w:highlight w:val="none"/>
          <w14:textFill>
            <w14:solidFill>
              <w14:schemeClr w14:val="tx1"/>
            </w14:solidFill>
          </w14:textFill>
        </w:rPr>
        <w:t>八、</w:t>
      </w:r>
      <w:r>
        <w:rPr>
          <w:rFonts w:hint="eastAsia"/>
          <w:b/>
          <w:bCs/>
          <w:color w:val="000000" w:themeColor="text1"/>
          <w:sz w:val="22"/>
          <w:szCs w:val="22"/>
          <w:highlight w:val="none"/>
          <w14:textFill>
            <w14:solidFill>
              <w14:schemeClr w14:val="tx1"/>
            </w14:solidFill>
          </w14:textFill>
        </w:rPr>
        <w:t>货款支付</w:t>
      </w:r>
    </w:p>
    <w:p>
      <w:pPr>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甲方按以下第</w:t>
      </w:r>
      <w:r>
        <w:rPr>
          <w:rFonts w:hint="eastAsia"/>
          <w:color w:val="000000" w:themeColor="text1"/>
          <w:sz w:val="22"/>
          <w:szCs w:val="22"/>
          <w:highlight w:val="none"/>
          <w:u w:val="single"/>
          <w:lang w:val="en-US" w:eastAsia="zh-CN"/>
          <w14:textFill>
            <w14:solidFill>
              <w14:schemeClr w14:val="tx1"/>
            </w14:solidFill>
          </w14:textFill>
        </w:rPr>
        <w:t xml:space="preserve">   </w:t>
      </w:r>
      <w:r>
        <w:rPr>
          <w:rFonts w:hint="eastAsia"/>
          <w:color w:val="000000" w:themeColor="text1"/>
          <w:sz w:val="22"/>
          <w:szCs w:val="22"/>
          <w:highlight w:val="none"/>
          <w14:textFill>
            <w14:solidFill>
              <w14:schemeClr w14:val="tx1"/>
            </w14:solidFill>
          </w14:textFill>
        </w:rPr>
        <w:t>种方式支付乙方合同价款。</w:t>
      </w:r>
    </w:p>
    <w:p>
      <w:pPr>
        <w:pStyle w:val="4"/>
        <w:spacing w:before="21"/>
        <w:ind w:left="351"/>
        <w:rPr>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lang w:val="en-US" w:eastAsia="zh-CN" w:bidi="zh-CN"/>
          <w14:textFill>
            <w14:solidFill>
              <w14:schemeClr w14:val="tx1"/>
            </w14:solidFill>
          </w14:textFill>
        </w:rPr>
        <w:t>1、</w:t>
      </w:r>
      <w:r>
        <w:rPr>
          <w:color w:val="000000" w:themeColor="text1"/>
          <w:sz w:val="22"/>
          <w:szCs w:val="22"/>
          <w:highlight w:val="none"/>
          <w14:textFill>
            <w14:solidFill>
              <w14:schemeClr w14:val="tx1"/>
            </w14:solidFill>
          </w14:textFill>
        </w:rPr>
        <w:t>一次性支付：</w:t>
      </w:r>
    </w:p>
    <w:p>
      <w:pPr>
        <w:pStyle w:val="4"/>
        <w:tabs>
          <w:tab w:val="left" w:pos="4877"/>
        </w:tabs>
        <w:spacing w:before="71"/>
        <w:ind w:left="351"/>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本合同项下的全部货物安装调试完毕并经最终验收合格后</w:t>
      </w:r>
      <w:r>
        <w:rPr>
          <w:rFonts w:hint="eastAsia"/>
          <w:color w:val="000000" w:themeColor="text1"/>
          <w:sz w:val="22"/>
          <w:szCs w:val="22"/>
          <w:highlight w:val="none"/>
          <w14:textFill>
            <w14:solidFill>
              <w14:schemeClr w14:val="tx1"/>
            </w14:solidFill>
          </w14:textFill>
        </w:rPr>
        <w:t>收到乙方发票后的</w:t>
      </w:r>
      <w:r>
        <w:rPr>
          <w:rFonts w:hint="eastAsia"/>
          <w:color w:val="000000" w:themeColor="text1"/>
          <w:sz w:val="22"/>
          <w:szCs w:val="22"/>
          <w:highlight w:val="none"/>
          <w:lang w:eastAsia="zh-CN"/>
          <w14:textFill>
            <w14:solidFill>
              <w14:schemeClr w14:val="tx1"/>
            </w14:solidFill>
          </w14:textFill>
        </w:rPr>
        <w:t>，甲方</w:t>
      </w:r>
      <w:r>
        <w:rPr>
          <w:rFonts w:hint="eastAsia"/>
          <w:color w:val="000000" w:themeColor="text1"/>
          <w:sz w:val="22"/>
          <w:szCs w:val="22"/>
          <w:highlight w:val="none"/>
          <w:lang w:val="zh-CN"/>
          <w14:textFill>
            <w14:solidFill>
              <w14:schemeClr w14:val="tx1"/>
            </w14:solidFill>
          </w14:textFill>
        </w:rPr>
        <w:t>按以下第</w:t>
      </w:r>
      <w:r>
        <w:rPr>
          <w:rFonts w:hint="eastAsia"/>
          <w:color w:val="000000" w:themeColor="text1"/>
          <w:sz w:val="22"/>
          <w:szCs w:val="22"/>
          <w:highlight w:val="none"/>
          <w:u w:val="single"/>
          <w:lang w:val="en-US" w:eastAsia="zh-CN"/>
          <w14:textFill>
            <w14:solidFill>
              <w14:schemeClr w14:val="tx1"/>
            </w14:solidFill>
          </w14:textFill>
        </w:rPr>
        <w:t xml:space="preserve">   </w:t>
      </w:r>
      <w:r>
        <w:rPr>
          <w:rFonts w:hint="eastAsia"/>
          <w:color w:val="000000" w:themeColor="text1"/>
          <w:sz w:val="22"/>
          <w:szCs w:val="22"/>
          <w:highlight w:val="none"/>
          <w:lang w:val="zh-CN"/>
          <w14:textFill>
            <w14:solidFill>
              <w14:schemeClr w14:val="tx1"/>
            </w14:solidFill>
          </w14:textFill>
        </w:rPr>
        <w:t>种方式一次性支付乙方</w:t>
      </w:r>
      <w:r>
        <w:rPr>
          <w:color w:val="000000" w:themeColor="text1"/>
          <w:sz w:val="22"/>
          <w:szCs w:val="22"/>
          <w:highlight w:val="none"/>
          <w14:textFill>
            <w14:solidFill>
              <w14:schemeClr w14:val="tx1"/>
            </w14:solidFill>
          </w14:textFill>
        </w:rPr>
        <w:t>全部</w:t>
      </w:r>
      <w:r>
        <w:rPr>
          <w:rFonts w:hint="eastAsia"/>
          <w:color w:val="000000" w:themeColor="text1"/>
          <w:sz w:val="22"/>
          <w:szCs w:val="22"/>
          <w:highlight w:val="none"/>
          <w:lang w:val="zh-CN"/>
          <w14:textFill>
            <w14:solidFill>
              <w14:schemeClr w14:val="tx1"/>
            </w14:solidFill>
          </w14:textFill>
        </w:rPr>
        <w:t>合同价款</w:t>
      </w:r>
      <w:r>
        <w:rPr>
          <w:color w:val="000000" w:themeColor="text1"/>
          <w:sz w:val="22"/>
          <w:szCs w:val="22"/>
          <w:highlight w:val="none"/>
          <w14:textFill>
            <w14:solidFill>
              <w14:schemeClr w14:val="tx1"/>
            </w14:solidFill>
          </w14:textFill>
        </w:rPr>
        <w:t>。</w:t>
      </w:r>
    </w:p>
    <w:p>
      <w:pPr>
        <w:pStyle w:val="20"/>
        <w:numPr>
          <w:ilvl w:val="0"/>
          <w:numId w:val="0"/>
        </w:numPr>
        <w:tabs>
          <w:tab w:val="left" w:pos="797"/>
          <w:tab w:val="left" w:pos="2800"/>
          <w:tab w:val="left" w:pos="5814"/>
          <w:tab w:val="left" w:pos="7603"/>
          <w:tab w:val="left" w:pos="8599"/>
        </w:tabs>
        <w:spacing w:before="69"/>
        <w:ind w:left="351" w:leftChars="0"/>
        <w:rPr>
          <w:color w:val="000000" w:themeColor="text1"/>
          <w:sz w:val="22"/>
          <w:szCs w:val="22"/>
          <w:highlight w:val="none"/>
          <w14:textFill>
            <w14:solidFill>
              <w14:schemeClr w14:val="tx1"/>
            </w14:solidFill>
          </w14:textFill>
        </w:rPr>
      </w:pPr>
      <w:r>
        <w:rPr>
          <w:rFonts w:hint="eastAsia"/>
          <w:color w:val="000000" w:themeColor="text1"/>
          <w:sz w:val="22"/>
          <w:szCs w:val="22"/>
          <w:highlight w:val="none"/>
          <w:lang w:eastAsia="zh-CN"/>
          <w14:textFill>
            <w14:solidFill>
              <w14:schemeClr w14:val="tx1"/>
            </w14:solidFill>
          </w14:textFill>
        </w:rPr>
        <w:t>（</w:t>
      </w:r>
      <w:r>
        <w:rPr>
          <w:rFonts w:hint="eastAsia"/>
          <w:color w:val="000000" w:themeColor="text1"/>
          <w:sz w:val="22"/>
          <w:szCs w:val="22"/>
          <w:highlight w:val="none"/>
          <w:lang w:val="en-US" w:eastAsia="zh-CN"/>
          <w14:textFill>
            <w14:solidFill>
              <w14:schemeClr w14:val="tx1"/>
            </w14:solidFill>
          </w14:textFill>
        </w:rPr>
        <w:t>1</w:t>
      </w:r>
      <w:r>
        <w:rPr>
          <w:rFonts w:hint="eastAsia"/>
          <w:color w:val="000000" w:themeColor="text1"/>
          <w:sz w:val="22"/>
          <w:szCs w:val="22"/>
          <w:highlight w:val="none"/>
          <w:lang w:eastAsia="zh-CN"/>
          <w14:textFill>
            <w14:solidFill>
              <w14:schemeClr w14:val="tx1"/>
            </w14:solidFill>
          </w14:textFill>
        </w:rPr>
        <w:t>）政府采购项目</w:t>
      </w:r>
      <w:r>
        <w:rPr>
          <w:rFonts w:hint="eastAsia"/>
          <w:color w:val="000000" w:themeColor="text1"/>
          <w:sz w:val="22"/>
          <w:szCs w:val="22"/>
          <w:highlight w:val="none"/>
          <w:lang w:val="en-US" w:eastAsia="zh-CN"/>
          <w14:textFill>
            <w14:solidFill>
              <w14:schemeClr w14:val="tx1"/>
            </w14:solidFill>
          </w14:textFill>
        </w:rPr>
        <w:t>7个工作日内</w:t>
      </w:r>
      <w:r>
        <w:rPr>
          <w:color w:val="000000" w:themeColor="text1"/>
          <w:sz w:val="22"/>
          <w:szCs w:val="22"/>
          <w:highlight w:val="none"/>
          <w14:textFill>
            <w14:solidFill>
              <w14:schemeClr w14:val="tx1"/>
            </w14:solidFill>
          </w14:textFill>
        </w:rPr>
        <w:t>；</w:t>
      </w:r>
    </w:p>
    <w:p>
      <w:pPr>
        <w:pStyle w:val="4"/>
        <w:tabs>
          <w:tab w:val="left" w:pos="4877"/>
        </w:tabs>
        <w:spacing w:before="71"/>
        <w:ind w:left="351"/>
        <w:rPr>
          <w:color w:val="000000" w:themeColor="text1"/>
          <w:sz w:val="22"/>
          <w:szCs w:val="22"/>
          <w:highlight w:val="none"/>
          <w14:textFill>
            <w14:solidFill>
              <w14:schemeClr w14:val="tx1"/>
            </w14:solidFill>
          </w14:textFill>
        </w:rPr>
      </w:pPr>
      <w:r>
        <w:rPr>
          <w:rFonts w:hint="eastAsia"/>
          <w:color w:val="000000" w:themeColor="text1"/>
          <w:sz w:val="22"/>
          <w:szCs w:val="22"/>
          <w:highlight w:val="none"/>
          <w:lang w:eastAsia="zh-CN"/>
          <w14:textFill>
            <w14:solidFill>
              <w14:schemeClr w14:val="tx1"/>
            </w14:solidFill>
          </w14:textFill>
        </w:rPr>
        <w:t>（</w:t>
      </w:r>
      <w:r>
        <w:rPr>
          <w:rFonts w:hint="eastAsia"/>
          <w:color w:val="000000" w:themeColor="text1"/>
          <w:sz w:val="22"/>
          <w:szCs w:val="22"/>
          <w:highlight w:val="none"/>
          <w:lang w:val="en-US" w:eastAsia="zh-CN"/>
          <w14:textFill>
            <w14:solidFill>
              <w14:schemeClr w14:val="tx1"/>
            </w14:solidFill>
          </w14:textFill>
        </w:rPr>
        <w:t>2</w:t>
      </w:r>
      <w:r>
        <w:rPr>
          <w:rFonts w:hint="eastAsia"/>
          <w:color w:val="000000" w:themeColor="text1"/>
          <w:sz w:val="22"/>
          <w:szCs w:val="22"/>
          <w:highlight w:val="none"/>
          <w:lang w:eastAsia="zh-CN"/>
          <w14:textFill>
            <w14:solidFill>
              <w14:schemeClr w14:val="tx1"/>
            </w14:solidFill>
          </w14:textFill>
        </w:rPr>
        <w:t>）非政府采购项目</w:t>
      </w:r>
      <w:r>
        <w:rPr>
          <w:rFonts w:hint="eastAsia"/>
          <w:color w:val="000000" w:themeColor="text1"/>
          <w:sz w:val="22"/>
          <w:szCs w:val="22"/>
          <w:highlight w:val="none"/>
          <w:lang w:val="en-US" w:eastAsia="zh-CN"/>
          <w14:textFill>
            <w14:solidFill>
              <w14:schemeClr w14:val="tx1"/>
            </w14:solidFill>
          </w14:textFill>
        </w:rPr>
        <w:t>3个月内</w:t>
      </w:r>
      <w:r>
        <w:rPr>
          <w:color w:val="000000" w:themeColor="text1"/>
          <w:sz w:val="22"/>
          <w:szCs w:val="22"/>
          <w:highlight w:val="none"/>
          <w14:textFill>
            <w14:solidFill>
              <w14:schemeClr w14:val="tx1"/>
            </w14:solidFill>
          </w14:textFill>
        </w:rPr>
        <w:t>。</w:t>
      </w:r>
    </w:p>
    <w:p>
      <w:pPr>
        <w:pStyle w:val="4"/>
        <w:spacing w:before="69"/>
        <w:ind w:left="351"/>
        <w:rPr>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lang w:val="en-US" w:eastAsia="zh-CN" w:bidi="zh-CN"/>
          <w14:textFill>
            <w14:solidFill>
              <w14:schemeClr w14:val="tx1"/>
            </w14:solidFill>
          </w14:textFill>
        </w:rPr>
        <w:t>2、</w:t>
      </w:r>
      <w:r>
        <w:rPr>
          <w:color w:val="000000" w:themeColor="text1"/>
          <w:sz w:val="22"/>
          <w:szCs w:val="22"/>
          <w:highlight w:val="none"/>
          <w14:textFill>
            <w14:solidFill>
              <w14:schemeClr w14:val="tx1"/>
            </w14:solidFill>
          </w14:textFill>
        </w:rPr>
        <w:t>分期支付：</w:t>
      </w:r>
    </w:p>
    <w:p>
      <w:pPr>
        <w:pStyle w:val="20"/>
        <w:numPr>
          <w:ilvl w:val="0"/>
          <w:numId w:val="0"/>
        </w:numPr>
        <w:tabs>
          <w:tab w:val="left" w:pos="797"/>
          <w:tab w:val="left" w:pos="2800"/>
          <w:tab w:val="left" w:pos="5814"/>
          <w:tab w:val="left" w:pos="7603"/>
          <w:tab w:val="left" w:pos="8599"/>
        </w:tabs>
        <w:spacing w:before="69"/>
        <w:ind w:left="351" w:leftChars="0"/>
        <w:rPr>
          <w:color w:val="000000" w:themeColor="text1"/>
          <w:sz w:val="22"/>
          <w:szCs w:val="22"/>
          <w:highlight w:val="none"/>
          <w14:textFill>
            <w14:solidFill>
              <w14:schemeClr w14:val="tx1"/>
            </w14:solidFill>
          </w14:textFill>
        </w:rPr>
      </w:pPr>
      <w:r>
        <w:rPr>
          <w:rFonts w:hint="eastAsia"/>
          <w:color w:val="000000" w:themeColor="text1"/>
          <w:sz w:val="22"/>
          <w:szCs w:val="22"/>
          <w:highlight w:val="none"/>
          <w:lang w:eastAsia="zh-CN"/>
          <w14:textFill>
            <w14:solidFill>
              <w14:schemeClr w14:val="tx1"/>
            </w14:solidFill>
          </w14:textFill>
        </w:rPr>
        <w:t>（</w:t>
      </w:r>
      <w:r>
        <w:rPr>
          <w:rFonts w:hint="eastAsia"/>
          <w:color w:val="000000" w:themeColor="text1"/>
          <w:sz w:val="22"/>
          <w:szCs w:val="22"/>
          <w:highlight w:val="none"/>
          <w:lang w:val="en-US" w:eastAsia="zh-CN"/>
          <w14:textFill>
            <w14:solidFill>
              <w14:schemeClr w14:val="tx1"/>
            </w14:solidFill>
          </w14:textFill>
        </w:rPr>
        <w:t>1</w:t>
      </w:r>
      <w:r>
        <w:rPr>
          <w:rFonts w:hint="eastAsia"/>
          <w:color w:val="000000" w:themeColor="text1"/>
          <w:sz w:val="22"/>
          <w:szCs w:val="22"/>
          <w:highlight w:val="none"/>
          <w:lang w:eastAsia="zh-CN"/>
          <w14:textFill>
            <w14:solidFill>
              <w14:schemeClr w14:val="tx1"/>
            </w14:solidFill>
          </w14:textFill>
        </w:rPr>
        <w:t>）</w:t>
      </w:r>
      <w:r>
        <w:rPr>
          <w:color w:val="000000" w:themeColor="text1"/>
          <w:sz w:val="22"/>
          <w:szCs w:val="22"/>
          <w:highlight w:val="none"/>
          <w14:textFill>
            <w14:solidFill>
              <w14:schemeClr w14:val="tx1"/>
            </w14:solidFill>
          </w14:textFill>
        </w:rPr>
        <w:t>甲方应于本合同生效后</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个工作日内向乙方支付合同总价款的</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rFonts w:ascii="Verdana" w:hAnsi="Verdana" w:eastAsia="Verdana"/>
          <w:color w:val="000000" w:themeColor="text1"/>
          <w:sz w:val="22"/>
          <w:szCs w:val="22"/>
          <w:highlight w:val="none"/>
          <w14:textFill>
            <w14:solidFill>
              <w14:schemeClr w14:val="tx1"/>
            </w14:solidFill>
          </w14:textFill>
        </w:rPr>
        <w:t>%</w:t>
      </w:r>
      <w:r>
        <w:rPr>
          <w:color w:val="000000" w:themeColor="text1"/>
          <w:sz w:val="22"/>
          <w:szCs w:val="22"/>
          <w:highlight w:val="none"/>
          <w14:textFill>
            <w14:solidFill>
              <w14:schemeClr w14:val="tx1"/>
            </w14:solidFill>
          </w14:textFill>
        </w:rPr>
        <w:t>作为预付款，计</w:t>
      </w:r>
      <w:r>
        <w:rPr>
          <w:rFonts w:ascii="Verdana" w:hAnsi="Verdana" w:eastAsia="Verdana"/>
          <w:color w:val="000000" w:themeColor="text1"/>
          <w:sz w:val="22"/>
          <w:szCs w:val="22"/>
          <w:highlight w:val="none"/>
          <w14:textFill>
            <w14:solidFill>
              <w14:schemeClr w14:val="tx1"/>
            </w14:solidFill>
          </w14:textFill>
        </w:rPr>
        <w:t>¥</w:t>
      </w:r>
      <w:r>
        <w:rPr>
          <w:rFonts w:ascii="Verdana" w:hAnsi="Verdana" w:eastAsia="Verdana"/>
          <w:color w:val="000000" w:themeColor="text1"/>
          <w:sz w:val="22"/>
          <w:szCs w:val="22"/>
          <w:highlight w:val="none"/>
          <w:u w:val="single" w:color="4068E0"/>
          <w14:textFill>
            <w14:solidFill>
              <w14:schemeClr w14:val="tx1"/>
            </w14:solidFill>
          </w14:textFill>
        </w:rPr>
        <w:t xml:space="preserve"> </w:t>
      </w:r>
      <w:r>
        <w:rPr>
          <w:rFonts w:hint="eastAsia" w:ascii="Verdana" w:hAnsi="Verdan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元（大写</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元整）；</w:t>
      </w:r>
    </w:p>
    <w:p>
      <w:pPr>
        <w:pStyle w:val="20"/>
        <w:numPr>
          <w:ilvl w:val="0"/>
          <w:numId w:val="0"/>
        </w:numPr>
        <w:tabs>
          <w:tab w:val="left" w:pos="797"/>
          <w:tab w:val="left" w:pos="2632"/>
          <w:tab w:val="left" w:pos="6150"/>
          <w:tab w:val="left" w:pos="7098"/>
          <w:tab w:val="left" w:pos="8095"/>
        </w:tabs>
        <w:spacing w:before="118"/>
        <w:ind w:left="351" w:leftChars="0"/>
        <w:rPr>
          <w:color w:val="000000" w:themeColor="text1"/>
          <w:sz w:val="22"/>
          <w:szCs w:val="22"/>
          <w:highlight w:val="none"/>
          <w14:textFill>
            <w14:solidFill>
              <w14:schemeClr w14:val="tx1"/>
            </w14:solidFill>
          </w14:textFill>
        </w:rPr>
      </w:pPr>
      <w:r>
        <w:rPr>
          <w:rFonts w:hint="eastAsia"/>
          <w:color w:val="000000" w:themeColor="text1"/>
          <w:sz w:val="22"/>
          <w:szCs w:val="22"/>
          <w:highlight w:val="none"/>
          <w:lang w:eastAsia="zh-CN"/>
          <w14:textFill>
            <w14:solidFill>
              <w14:schemeClr w14:val="tx1"/>
            </w14:solidFill>
          </w14:textFill>
        </w:rPr>
        <w:t>（</w:t>
      </w:r>
      <w:r>
        <w:rPr>
          <w:rFonts w:hint="eastAsia"/>
          <w:color w:val="000000" w:themeColor="text1"/>
          <w:sz w:val="22"/>
          <w:szCs w:val="22"/>
          <w:highlight w:val="none"/>
          <w:lang w:val="en-US" w:eastAsia="zh-CN"/>
          <w14:textFill>
            <w14:solidFill>
              <w14:schemeClr w14:val="tx1"/>
            </w14:solidFill>
          </w14:textFill>
        </w:rPr>
        <w:t>2</w:t>
      </w:r>
      <w:r>
        <w:rPr>
          <w:rFonts w:hint="eastAsia"/>
          <w:color w:val="000000" w:themeColor="text1"/>
          <w:sz w:val="22"/>
          <w:szCs w:val="22"/>
          <w:highlight w:val="none"/>
          <w:lang w:eastAsia="zh-CN"/>
          <w14:textFill>
            <w14:solidFill>
              <w14:schemeClr w14:val="tx1"/>
            </w14:solidFill>
          </w14:textFill>
        </w:rPr>
        <w:t>）</w:t>
      </w:r>
      <w:r>
        <w:rPr>
          <w:color w:val="000000" w:themeColor="text1"/>
          <w:sz w:val="22"/>
          <w:szCs w:val="22"/>
          <w:highlight w:val="none"/>
          <w14:textFill>
            <w14:solidFill>
              <w14:schemeClr w14:val="tx1"/>
            </w14:solidFill>
          </w14:textFill>
        </w:rPr>
        <w:t>全部货物验收合格后</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个工作日内，甲方向乙方支付合同总价款的</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rFonts w:ascii="Verdana" w:hAnsi="Verdana" w:eastAsia="Verdana"/>
          <w:color w:val="000000" w:themeColor="text1"/>
          <w:sz w:val="22"/>
          <w:szCs w:val="22"/>
          <w:highlight w:val="none"/>
          <w14:textFill>
            <w14:solidFill>
              <w14:schemeClr w14:val="tx1"/>
            </w14:solidFill>
          </w14:textFill>
        </w:rPr>
        <w:t>%</w:t>
      </w:r>
      <w:r>
        <w:rPr>
          <w:color w:val="000000" w:themeColor="text1"/>
          <w:sz w:val="22"/>
          <w:szCs w:val="22"/>
          <w:highlight w:val="none"/>
          <w14:textFill>
            <w14:solidFill>
              <w14:schemeClr w14:val="tx1"/>
            </w14:solidFill>
          </w14:textFill>
        </w:rPr>
        <w:t>，计</w:t>
      </w:r>
      <w:r>
        <w:rPr>
          <w:rFonts w:ascii="Verdana" w:hAnsi="Verdana" w:eastAsia="Verdana"/>
          <w:color w:val="000000" w:themeColor="text1"/>
          <w:sz w:val="22"/>
          <w:szCs w:val="22"/>
          <w:highlight w:val="none"/>
          <w14:textFill>
            <w14:solidFill>
              <w14:schemeClr w14:val="tx1"/>
            </w14:solidFill>
          </w14:textFill>
        </w:rPr>
        <w:t>¥</w:t>
      </w:r>
      <w:r>
        <w:rPr>
          <w:rFonts w:ascii="Verdana" w:hAnsi="Verdana" w:eastAsia="Verdana"/>
          <w:color w:val="000000" w:themeColor="text1"/>
          <w:sz w:val="22"/>
          <w:szCs w:val="22"/>
          <w:highlight w:val="none"/>
          <w:u w:val="single" w:color="4068E0"/>
          <w14:textFill>
            <w14:solidFill>
              <w14:schemeClr w14:val="tx1"/>
            </w14:solidFill>
          </w14:textFill>
        </w:rPr>
        <w:t xml:space="preserve"> </w:t>
      </w:r>
      <w:r>
        <w:rPr>
          <w:rFonts w:hint="eastAsia" w:ascii="Verdana" w:hAnsi="Verdan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元（大写</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元整）。</w:t>
      </w:r>
    </w:p>
    <w:p>
      <w:pPr>
        <w:pStyle w:val="20"/>
        <w:numPr>
          <w:ilvl w:val="0"/>
          <w:numId w:val="0"/>
        </w:numPr>
        <w:tabs>
          <w:tab w:val="left" w:pos="797"/>
          <w:tab w:val="left" w:pos="2632"/>
          <w:tab w:val="left" w:pos="6150"/>
          <w:tab w:val="left" w:pos="7098"/>
          <w:tab w:val="left" w:pos="8095"/>
        </w:tabs>
        <w:spacing w:before="118"/>
        <w:ind w:left="351" w:leftChars="0"/>
        <w:rPr>
          <w:rFonts w:hint="eastAsia" w:ascii="Times New Roman" w:hAnsi="Times New Roman" w:eastAsia="新宋体" w:cs="Times New Roman"/>
          <w:color w:val="auto"/>
          <w:sz w:val="22"/>
          <w:szCs w:val="22"/>
          <w:highlight w:val="none"/>
          <w:lang w:eastAsia="zh-CN"/>
        </w:rPr>
      </w:pPr>
      <w:r>
        <w:rPr>
          <w:rFonts w:hint="eastAsia" w:ascii="宋体" w:hAnsi="宋体" w:eastAsia="宋体" w:cs="宋体"/>
          <w:color w:val="000000" w:themeColor="text1"/>
          <w:kern w:val="0"/>
          <w:sz w:val="22"/>
          <w:szCs w:val="22"/>
          <w:lang w:val="en-US" w:eastAsia="zh-CN" w:bidi="zh-CN"/>
          <w14:textFill>
            <w14:solidFill>
              <w14:schemeClr w14:val="tx1"/>
            </w14:solidFill>
          </w14:textFill>
        </w:rPr>
        <w:t>3、</w:t>
      </w:r>
      <w:r>
        <w:rPr>
          <w:rFonts w:hint="eastAsia"/>
          <w:color w:val="000000" w:themeColor="text1"/>
          <w:sz w:val="22"/>
          <w:szCs w:val="22"/>
          <w:highlight w:val="none"/>
          <w:lang w:eastAsia="zh-CN"/>
          <w14:textFill>
            <w14:solidFill>
              <w14:schemeClr w14:val="tx1"/>
            </w14:solidFill>
          </w14:textFill>
        </w:rPr>
        <w:t>政府采购项目</w:t>
      </w:r>
      <w:r>
        <w:rPr>
          <w:rFonts w:hint="eastAsia" w:ascii="Times New Roman" w:hAnsi="Times New Roman" w:eastAsia="新宋体" w:cs="Times New Roman"/>
          <w:color w:val="auto"/>
          <w:sz w:val="22"/>
          <w:szCs w:val="22"/>
          <w:highlight w:val="none"/>
          <w:lang w:eastAsia="zh-CN"/>
        </w:rPr>
        <w:t>若乙方为中小微企业：在合同签订生效以及具备实施条件后，甲方通知乙方发货之日起7个工作日内，支付全部货款的40%作为预付款。剩余全部货款的60%在项目全部验收合格并收到乙方发票后的</w:t>
      </w:r>
      <w:r>
        <w:rPr>
          <w:rFonts w:hint="eastAsia" w:ascii="Times New Roman" w:hAnsi="Times New Roman" w:eastAsia="新宋体" w:cs="Times New Roman"/>
          <w:color w:val="auto"/>
          <w:sz w:val="22"/>
          <w:szCs w:val="22"/>
          <w:highlight w:val="none"/>
          <w:lang w:val="en-US" w:eastAsia="zh-CN"/>
        </w:rPr>
        <w:t>7个工作日</w:t>
      </w:r>
      <w:r>
        <w:rPr>
          <w:rFonts w:hint="eastAsia" w:ascii="Times New Roman" w:hAnsi="Times New Roman" w:eastAsia="新宋体" w:cs="Times New Roman"/>
          <w:color w:val="auto"/>
          <w:sz w:val="22"/>
          <w:szCs w:val="22"/>
          <w:highlight w:val="none"/>
          <w:lang w:eastAsia="zh-CN"/>
        </w:rPr>
        <w:t>内支付给乙方。</w:t>
      </w:r>
    </w:p>
    <w:p>
      <w:pPr>
        <w:pStyle w:val="20"/>
        <w:numPr>
          <w:ilvl w:val="0"/>
          <w:numId w:val="0"/>
        </w:numPr>
        <w:tabs>
          <w:tab w:val="left" w:pos="797"/>
          <w:tab w:val="left" w:pos="2632"/>
          <w:tab w:val="left" w:pos="6150"/>
          <w:tab w:val="left" w:pos="7098"/>
          <w:tab w:val="left" w:pos="8095"/>
        </w:tabs>
        <w:spacing w:before="118"/>
        <w:ind w:left="351" w:leftChars="0"/>
        <w:rPr>
          <w:rFonts w:hint="default" w:ascii="Times New Roman" w:hAnsi="Times New Roman" w:eastAsia="新宋体" w:cs="Times New Roman"/>
          <w:color w:val="auto"/>
          <w:sz w:val="22"/>
          <w:szCs w:val="22"/>
          <w:highlight w:val="none"/>
          <w:lang w:val="en-US" w:eastAsia="zh-CN"/>
        </w:rPr>
      </w:pPr>
      <w:r>
        <w:rPr>
          <w:rFonts w:hint="eastAsia" w:ascii="Times New Roman" w:hAnsi="Times New Roman" w:eastAsia="新宋体" w:cs="Times New Roman"/>
          <w:color w:val="auto"/>
          <w:sz w:val="22"/>
          <w:szCs w:val="22"/>
          <w:highlight w:val="none"/>
          <w:lang w:val="en-US" w:eastAsia="zh-CN"/>
        </w:rPr>
        <w:t>4、其他方式：</w:t>
      </w:r>
    </w:p>
    <w:p>
      <w:pPr>
        <w:pStyle w:val="3"/>
        <w:spacing w:before="16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九、税费</w:t>
      </w:r>
    </w:p>
    <w:p>
      <w:pPr>
        <w:pStyle w:val="4"/>
        <w:spacing w:before="23"/>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本合同执行中相关的一切税费均由乙方负担。</w:t>
      </w:r>
    </w:p>
    <w:p>
      <w:pPr>
        <w:pStyle w:val="3"/>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十、质量保证及售后服务</w:t>
      </w:r>
    </w:p>
    <w:p>
      <w:pPr>
        <w:pStyle w:val="20"/>
        <w:numPr>
          <w:ilvl w:val="0"/>
          <w:numId w:val="0"/>
        </w:numPr>
        <w:tabs>
          <w:tab w:val="left" w:pos="522"/>
        </w:tabs>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乙方保证本合同中所供应的商品是最新生产的符合国家技术规格和质量标准的出厂原装</w:t>
      </w:r>
      <w:r>
        <w:rPr>
          <w:rFonts w:hint="eastAsia"/>
          <w:color w:val="000000" w:themeColor="text1"/>
          <w:sz w:val="22"/>
          <w:szCs w:val="22"/>
          <w14:textFill>
            <w14:solidFill>
              <w14:schemeClr w14:val="tx1"/>
            </w14:solidFill>
          </w14:textFill>
        </w:rPr>
        <w:t>的</w:t>
      </w:r>
      <w:r>
        <w:rPr>
          <w:color w:val="000000" w:themeColor="text1"/>
          <w:sz w:val="22"/>
          <w:szCs w:val="22"/>
          <w14:textFill>
            <w14:solidFill>
              <w14:schemeClr w14:val="tx1"/>
            </w14:solidFill>
          </w14:textFill>
        </w:rPr>
        <w:t>合格产品。如发生所供商品与合同不符，甲方</w:t>
      </w:r>
      <w:r>
        <w:rPr>
          <w:rFonts w:hint="eastAsia"/>
          <w:color w:val="000000" w:themeColor="text1"/>
          <w:sz w:val="22"/>
          <w:szCs w:val="22"/>
          <w14:textFill>
            <w14:solidFill>
              <w14:schemeClr w14:val="tx1"/>
            </w14:solidFill>
          </w14:textFill>
        </w:rPr>
        <w:t>（采购单位）有权拒收或退货，由此产生的一切责任和后果由乙方承担。</w:t>
      </w:r>
    </w:p>
    <w:p>
      <w:pPr>
        <w:pStyle w:val="20"/>
        <w:numPr>
          <w:ilvl w:val="0"/>
          <w:numId w:val="0"/>
        </w:numPr>
        <w:tabs>
          <w:tab w:val="left" w:pos="522"/>
        </w:tabs>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乙方提供的货物在质保期内因货物本身的质量问题发生故障，乙方应负责免费更换。对达不到技术要求者，根据实际情况，经双方协商，可按以下办法处理：</w:t>
      </w:r>
    </w:p>
    <w:p>
      <w:pPr>
        <w:pStyle w:val="20"/>
        <w:numPr>
          <w:ilvl w:val="0"/>
          <w:numId w:val="0"/>
        </w:numPr>
        <w:tabs>
          <w:tab w:val="left" w:pos="797"/>
        </w:tabs>
        <w:spacing w:before="0"/>
        <w:ind w:left="351" w:leftChars="0"/>
        <w:rPr>
          <w:color w:val="000000" w:themeColor="text1"/>
          <w:sz w:val="22"/>
          <w:szCs w:val="22"/>
          <w14:textFill>
            <w14:solidFill>
              <w14:schemeClr w14:val="tx1"/>
            </w14:solidFill>
          </w14:textFill>
        </w:rPr>
      </w:pPr>
      <w:r>
        <w:rPr>
          <w:rFonts w:hint="eastAsia"/>
          <w:color w:val="000000" w:themeColor="text1"/>
          <w:sz w:val="22"/>
          <w:szCs w:val="22"/>
          <w:lang w:eastAsia="zh-CN"/>
          <w14:textFill>
            <w14:solidFill>
              <w14:schemeClr w14:val="tx1"/>
            </w14:solidFill>
          </w14:textFill>
        </w:rPr>
        <w:t>（</w:t>
      </w:r>
      <w:r>
        <w:rPr>
          <w:rFonts w:hint="eastAsia"/>
          <w:color w:val="000000" w:themeColor="text1"/>
          <w:sz w:val="22"/>
          <w:szCs w:val="22"/>
          <w:lang w:val="en-US" w:eastAsia="zh-CN"/>
          <w14:textFill>
            <w14:solidFill>
              <w14:schemeClr w14:val="tx1"/>
            </w14:solidFill>
          </w14:textFill>
        </w:rPr>
        <w:t>1</w:t>
      </w:r>
      <w:r>
        <w:rPr>
          <w:rFonts w:hint="eastAsia"/>
          <w:color w:val="000000" w:themeColor="text1"/>
          <w:sz w:val="22"/>
          <w:szCs w:val="22"/>
          <w:lang w:eastAsia="zh-CN"/>
          <w14:textFill>
            <w14:solidFill>
              <w14:schemeClr w14:val="tx1"/>
            </w14:solidFill>
          </w14:textFill>
        </w:rPr>
        <w:t>）</w:t>
      </w:r>
      <w:r>
        <w:rPr>
          <w:color w:val="000000" w:themeColor="text1"/>
          <w:sz w:val="22"/>
          <w:szCs w:val="22"/>
          <w14:textFill>
            <w14:solidFill>
              <w14:schemeClr w14:val="tx1"/>
            </w14:solidFill>
          </w14:textFill>
        </w:rPr>
        <w:t>更换：由乙方承担所发生的全部费用。</w:t>
      </w:r>
    </w:p>
    <w:p>
      <w:pPr>
        <w:pStyle w:val="20"/>
        <w:numPr>
          <w:ilvl w:val="0"/>
          <w:numId w:val="0"/>
        </w:numPr>
        <w:tabs>
          <w:tab w:val="left" w:pos="797"/>
        </w:tabs>
        <w:spacing w:before="22"/>
        <w:ind w:left="351" w:leftChars="0"/>
        <w:rPr>
          <w:color w:val="000000" w:themeColor="text1"/>
          <w:sz w:val="22"/>
          <w:szCs w:val="22"/>
          <w14:textFill>
            <w14:solidFill>
              <w14:schemeClr w14:val="tx1"/>
            </w14:solidFill>
          </w14:textFill>
        </w:rPr>
      </w:pPr>
      <w:r>
        <w:rPr>
          <w:rFonts w:hint="eastAsia"/>
          <w:color w:val="000000" w:themeColor="text1"/>
          <w:sz w:val="22"/>
          <w:szCs w:val="22"/>
          <w:lang w:eastAsia="zh-CN"/>
          <w14:textFill>
            <w14:solidFill>
              <w14:schemeClr w14:val="tx1"/>
            </w14:solidFill>
          </w14:textFill>
        </w:rPr>
        <w:t>（</w:t>
      </w:r>
      <w:r>
        <w:rPr>
          <w:rFonts w:hint="eastAsia"/>
          <w:color w:val="000000" w:themeColor="text1"/>
          <w:sz w:val="22"/>
          <w:szCs w:val="22"/>
          <w:lang w:val="en-US" w:eastAsia="zh-CN"/>
          <w14:textFill>
            <w14:solidFill>
              <w14:schemeClr w14:val="tx1"/>
            </w14:solidFill>
          </w14:textFill>
        </w:rPr>
        <w:t>2</w:t>
      </w:r>
      <w:r>
        <w:rPr>
          <w:rFonts w:hint="eastAsia"/>
          <w:color w:val="000000" w:themeColor="text1"/>
          <w:sz w:val="22"/>
          <w:szCs w:val="22"/>
          <w:lang w:eastAsia="zh-CN"/>
          <w14:textFill>
            <w14:solidFill>
              <w14:schemeClr w14:val="tx1"/>
            </w14:solidFill>
          </w14:textFill>
        </w:rPr>
        <w:t>）</w:t>
      </w:r>
      <w:r>
        <w:rPr>
          <w:color w:val="000000" w:themeColor="text1"/>
          <w:sz w:val="22"/>
          <w:szCs w:val="22"/>
          <w14:textFill>
            <w14:solidFill>
              <w14:schemeClr w14:val="tx1"/>
            </w14:solidFill>
          </w14:textFill>
        </w:rPr>
        <w:t>贬值处理：由甲乙双方合议定价。</w:t>
      </w:r>
    </w:p>
    <w:p>
      <w:pPr>
        <w:pStyle w:val="20"/>
        <w:numPr>
          <w:ilvl w:val="0"/>
          <w:numId w:val="0"/>
        </w:numPr>
        <w:tabs>
          <w:tab w:val="left" w:pos="797"/>
        </w:tabs>
        <w:ind w:left="351" w:leftChars="0"/>
        <w:rPr>
          <w:color w:val="000000" w:themeColor="text1"/>
          <w:sz w:val="22"/>
          <w:szCs w:val="22"/>
          <w14:textFill>
            <w14:solidFill>
              <w14:schemeClr w14:val="tx1"/>
            </w14:solidFill>
          </w14:textFill>
        </w:rPr>
      </w:pPr>
      <w:r>
        <w:rPr>
          <w:rFonts w:hint="eastAsia"/>
          <w:color w:val="000000" w:themeColor="text1"/>
          <w:sz w:val="22"/>
          <w:szCs w:val="22"/>
          <w:lang w:eastAsia="zh-CN"/>
          <w14:textFill>
            <w14:solidFill>
              <w14:schemeClr w14:val="tx1"/>
            </w14:solidFill>
          </w14:textFill>
        </w:rPr>
        <w:t>（</w:t>
      </w:r>
      <w:r>
        <w:rPr>
          <w:rFonts w:hint="eastAsia"/>
          <w:color w:val="000000" w:themeColor="text1"/>
          <w:sz w:val="22"/>
          <w:szCs w:val="22"/>
          <w:lang w:val="en-US" w:eastAsia="zh-CN"/>
          <w14:textFill>
            <w14:solidFill>
              <w14:schemeClr w14:val="tx1"/>
            </w14:solidFill>
          </w14:textFill>
        </w:rPr>
        <w:t>3</w:t>
      </w:r>
      <w:r>
        <w:rPr>
          <w:rFonts w:hint="eastAsia"/>
          <w:color w:val="000000" w:themeColor="text1"/>
          <w:sz w:val="22"/>
          <w:szCs w:val="22"/>
          <w:lang w:eastAsia="zh-CN"/>
          <w14:textFill>
            <w14:solidFill>
              <w14:schemeClr w14:val="tx1"/>
            </w14:solidFill>
          </w14:textFill>
        </w:rPr>
        <w:t>）</w:t>
      </w:r>
      <w:r>
        <w:rPr>
          <w:color w:val="000000" w:themeColor="text1"/>
          <w:sz w:val="22"/>
          <w:szCs w:val="22"/>
          <w14:textFill>
            <w14:solidFill>
              <w14:schemeClr w14:val="tx1"/>
            </w14:solidFill>
          </w14:textFill>
        </w:rPr>
        <w:t>退货处理：乙方应退还甲方支付的合同款，同时应承担该货物的直接费用（运输、保险、检验、货款利息及银行手续费等）。</w:t>
      </w:r>
    </w:p>
    <w:p>
      <w:pPr>
        <w:pStyle w:val="20"/>
        <w:numPr>
          <w:ilvl w:val="0"/>
          <w:numId w:val="0"/>
        </w:numPr>
        <w:tabs>
          <w:tab w:val="left" w:pos="522"/>
        </w:tabs>
        <w:spacing w:before="22"/>
        <w:ind w:left="350" w:leftChars="0"/>
        <w:rPr>
          <w:rFonts w:hint="eastAsia"/>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3、</w:t>
      </w:r>
      <w:r>
        <w:rPr>
          <w:color w:val="000000" w:themeColor="text1"/>
          <w:sz w:val="22"/>
          <w:szCs w:val="22"/>
          <w14:textFill>
            <w14:solidFill>
              <w14:schemeClr w14:val="tx1"/>
            </w14:solidFill>
          </w14:textFill>
        </w:rPr>
        <w:t>在质保期内，乙方应对货物出现的质量及安全问题负责处理解决并承担一切费用。</w:t>
      </w:r>
      <w:r>
        <w:rPr>
          <w:rFonts w:hint="eastAsia"/>
          <w:color w:val="000000" w:themeColor="text1"/>
          <w:sz w:val="22"/>
          <w:szCs w:val="22"/>
          <w14:textFill>
            <w14:solidFill>
              <w14:schemeClr w14:val="tx1"/>
            </w14:solidFill>
          </w14:textFill>
        </w:rPr>
        <w:t>质保期内货</w:t>
      </w:r>
    </w:p>
    <w:p>
      <w:pPr>
        <w:pStyle w:val="20"/>
        <w:numPr>
          <w:ilvl w:val="0"/>
          <w:numId w:val="0"/>
        </w:numPr>
        <w:tabs>
          <w:tab w:val="left" w:pos="522"/>
        </w:tabs>
        <w:spacing w:before="22"/>
        <w:ind w:left="350" w:leftChars="0"/>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物故障率均不得超过</w:t>
      </w:r>
      <w:r>
        <w:rPr>
          <w:rFonts w:hint="eastAsia"/>
          <w:color w:val="000000" w:themeColor="text1"/>
          <w:sz w:val="22"/>
          <w:szCs w:val="22"/>
          <w:highlight w:val="none"/>
          <w:lang w:val="en-US" w:eastAsia="zh-CN"/>
          <w14:textFill>
            <w14:solidFill>
              <w14:schemeClr w14:val="tx1"/>
            </w14:solidFill>
          </w14:textFill>
        </w:rPr>
        <w:t>XXX</w:t>
      </w:r>
      <w:r>
        <w:rPr>
          <w:rFonts w:hint="eastAsia"/>
          <w:color w:val="000000" w:themeColor="text1"/>
          <w:sz w:val="22"/>
          <w:szCs w:val="22"/>
          <w:highlight w:val="none"/>
          <w14:textFill>
            <w14:solidFill>
              <w14:schemeClr w14:val="tx1"/>
            </w14:solidFill>
          </w14:textFill>
        </w:rPr>
        <w:t>天，每超过一天该货物质保期相应延长</w:t>
      </w:r>
      <w:r>
        <w:rPr>
          <w:rFonts w:hint="eastAsia"/>
          <w:color w:val="000000" w:themeColor="text1"/>
          <w:sz w:val="22"/>
          <w:szCs w:val="22"/>
          <w:highlight w:val="none"/>
          <w:lang w:val="en-US" w:eastAsia="zh-CN"/>
          <w14:textFill>
            <w14:solidFill>
              <w14:schemeClr w14:val="tx1"/>
            </w14:solidFill>
          </w14:textFill>
        </w:rPr>
        <w:t>XXX</w:t>
      </w:r>
      <w:r>
        <w:rPr>
          <w:rFonts w:hint="eastAsia"/>
          <w:color w:val="000000" w:themeColor="text1"/>
          <w:sz w:val="22"/>
          <w:szCs w:val="22"/>
          <w:highlight w:val="none"/>
          <w14:textFill>
            <w14:solidFill>
              <w14:schemeClr w14:val="tx1"/>
            </w14:solidFill>
          </w14:textFill>
        </w:rPr>
        <w:t>天。</w:t>
      </w:r>
    </w:p>
    <w:p>
      <w:pPr>
        <w:pStyle w:val="20"/>
        <w:numPr>
          <w:ilvl w:val="0"/>
          <w:numId w:val="0"/>
        </w:numPr>
        <w:tabs>
          <w:tab w:val="left" w:pos="522"/>
        </w:tabs>
        <w:spacing w:before="22"/>
        <w:ind w:left="350" w:leftChars="0"/>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4、</w:t>
      </w:r>
      <w:r>
        <w:rPr>
          <w:rFonts w:hint="eastAsia"/>
          <w:color w:val="000000" w:themeColor="text1"/>
          <w:sz w:val="22"/>
          <w:szCs w:val="22"/>
          <w:highlight w:val="none"/>
          <w14:textFill>
            <w14:solidFill>
              <w14:schemeClr w14:val="tx1"/>
            </w14:solidFill>
          </w14:textFill>
        </w:rPr>
        <w:t>上述的货物在质保期内免费保修，因人为因素出现的故障不在免费保修范围内。超过</w:t>
      </w:r>
      <w:r>
        <w:rPr>
          <w:rFonts w:hint="eastAsia"/>
          <w:color w:val="000000" w:themeColor="text1"/>
          <w:sz w:val="22"/>
          <w:szCs w:val="22"/>
          <w:highlight w:val="none"/>
          <w:lang w:val="en-US" w:eastAsia="zh-CN"/>
          <w14:textFill>
            <w14:solidFill>
              <w14:schemeClr w14:val="tx1"/>
            </w14:solidFill>
          </w14:textFill>
        </w:rPr>
        <w:t>质保</w:t>
      </w:r>
      <w:r>
        <w:rPr>
          <w:rFonts w:hint="eastAsia"/>
          <w:color w:val="000000" w:themeColor="text1"/>
          <w:sz w:val="22"/>
          <w:szCs w:val="22"/>
          <w:highlight w:val="none"/>
          <w14:textFill>
            <w14:solidFill>
              <w14:schemeClr w14:val="tx1"/>
            </w14:solidFill>
          </w14:textFill>
        </w:rPr>
        <w:t>期的机器设备，终生维修，维修时只收部件成本费。乙方应当在</w:t>
      </w:r>
      <w:r>
        <w:rPr>
          <w:rFonts w:hint="eastAsia"/>
          <w:color w:val="000000" w:themeColor="text1"/>
          <w:sz w:val="22"/>
          <w:szCs w:val="22"/>
          <w:highlight w:val="none"/>
          <w:lang w:eastAsia="zh-CN"/>
          <w14:textFill>
            <w14:solidFill>
              <w14:schemeClr w14:val="tx1"/>
            </w14:solidFill>
          </w14:textFill>
        </w:rPr>
        <w:t>接到</w:t>
      </w:r>
      <w:r>
        <w:rPr>
          <w:rFonts w:hint="eastAsia"/>
          <w:color w:val="000000" w:themeColor="text1"/>
          <w:sz w:val="22"/>
          <w:szCs w:val="22"/>
          <w:highlight w:val="none"/>
          <w14:textFill>
            <w14:solidFill>
              <w14:schemeClr w14:val="tx1"/>
            </w14:solidFill>
          </w14:textFill>
        </w:rPr>
        <w:t>甲方通知维修后</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rFonts w:hint="eastAsia"/>
          <w:color w:val="000000" w:themeColor="text1"/>
          <w:sz w:val="22"/>
          <w:szCs w:val="22"/>
          <w:highlight w:val="none"/>
          <w:lang w:val="en-US" w:eastAsia="zh-CN"/>
          <w14:textFill>
            <w14:solidFill>
              <w14:schemeClr w14:val="tx1"/>
            </w14:solidFill>
          </w14:textFill>
        </w:rPr>
        <w:t>小时</w:t>
      </w:r>
      <w:r>
        <w:rPr>
          <w:rFonts w:hint="eastAsia"/>
          <w:color w:val="000000" w:themeColor="text1"/>
          <w:sz w:val="22"/>
          <w:szCs w:val="22"/>
          <w:highlight w:val="none"/>
          <w14:textFill>
            <w14:solidFill>
              <w14:schemeClr w14:val="tx1"/>
            </w14:solidFill>
          </w14:textFill>
        </w:rPr>
        <w:t>内</w:t>
      </w:r>
      <w:r>
        <w:rPr>
          <w:rFonts w:hint="eastAsia"/>
          <w:color w:val="000000" w:themeColor="text1"/>
          <w:sz w:val="22"/>
          <w:szCs w:val="22"/>
          <w:highlight w:val="none"/>
          <w:lang w:val="en-US" w:eastAsia="zh-CN"/>
          <w14:textFill>
            <w14:solidFill>
              <w14:schemeClr w14:val="tx1"/>
            </w14:solidFill>
          </w14:textFill>
        </w:rPr>
        <w:t>响应，</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rFonts w:hint="eastAsia"/>
          <w:color w:val="000000" w:themeColor="text1"/>
          <w:sz w:val="22"/>
          <w:szCs w:val="22"/>
          <w:highlight w:val="none"/>
          <w:u w:val="single" w:color="4068E0"/>
          <w:lang w:val="en-US" w:eastAsia="zh-CN"/>
          <w14:textFill>
            <w14:solidFill>
              <w14:schemeClr w14:val="tx1"/>
            </w14:solidFill>
          </w14:textFill>
        </w:rPr>
        <w:t>小时内</w:t>
      </w:r>
      <w:r>
        <w:rPr>
          <w:rFonts w:hint="eastAsia"/>
          <w:color w:val="000000" w:themeColor="text1"/>
          <w:sz w:val="22"/>
          <w:szCs w:val="22"/>
          <w:highlight w:val="none"/>
          <w14:textFill>
            <w14:solidFill>
              <w14:schemeClr w14:val="tx1"/>
            </w14:solidFill>
          </w14:textFill>
        </w:rPr>
        <w:t>到达货物所在地进行维修。</w:t>
      </w:r>
      <w:r>
        <w:rPr>
          <w:rFonts w:hint="eastAsia"/>
          <w:color w:val="000000" w:themeColor="text1"/>
          <w:sz w:val="22"/>
          <w:szCs w:val="22"/>
          <w:highlight w:val="none"/>
          <w:lang w:val="en-US" w:eastAsia="zh-CN"/>
          <w14:textFill>
            <w14:solidFill>
              <w14:schemeClr w14:val="tx1"/>
            </w14:solidFill>
          </w14:textFill>
        </w:rPr>
        <w:t>若乙方XX小时内无法维修的，乙方应当提供备用设备供甲方暂时使用。</w:t>
      </w:r>
    </w:p>
    <w:p>
      <w:pPr>
        <w:pStyle w:val="20"/>
        <w:numPr>
          <w:ilvl w:val="0"/>
          <w:numId w:val="0"/>
        </w:numPr>
        <w:tabs>
          <w:tab w:val="left" w:pos="522"/>
        </w:tabs>
        <w:spacing w:before="22"/>
        <w:ind w:left="350" w:leftChars="0"/>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5.整机终生免费提供软件功能升级服务，并及时提供设备新功能和临床应用的资料。零配件在该设备停产后仍需保证10年的供应。</w:t>
      </w:r>
    </w:p>
    <w:p>
      <w:pPr>
        <w:pStyle w:val="3"/>
        <w:spacing w:before="85"/>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十一、调试和验收</w:t>
      </w:r>
    </w:p>
    <w:p>
      <w:pPr>
        <w:pStyle w:val="20"/>
        <w:numPr>
          <w:ilvl w:val="0"/>
          <w:numId w:val="0"/>
        </w:numPr>
        <w:tabs>
          <w:tab w:val="left" w:pos="522"/>
        </w:tabs>
        <w:spacing w:before="106"/>
        <w:ind w:left="351" w:leftChars="0"/>
        <w:rPr>
          <w:color w:val="000000" w:themeColor="text1"/>
          <w:sz w:val="22"/>
          <w:szCs w:val="22"/>
          <w:highlight w:val="none"/>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1、</w:t>
      </w:r>
      <w:r>
        <w:rPr>
          <w:color w:val="000000" w:themeColor="text1"/>
          <w:sz w:val="22"/>
          <w:szCs w:val="22"/>
          <w:highlight w:val="none"/>
          <w14:textFill>
            <w14:solidFill>
              <w14:schemeClr w14:val="tx1"/>
            </w14:solidFill>
          </w14:textFill>
        </w:rPr>
        <w:t>甲方对乙方提交的货物依据招标文件上的技术规格要求和国家有关质量标准进行现场验收。货到后，甲方需在</w:t>
      </w:r>
      <w:r>
        <w:rPr>
          <w:rFonts w:hint="eastAsia"/>
          <w:color w:val="000000" w:themeColor="text1"/>
          <w:sz w:val="22"/>
          <w:szCs w:val="22"/>
          <w:highlight w:val="none"/>
          <w14:textFill>
            <w14:solidFill>
              <w14:schemeClr w14:val="tx1"/>
            </w14:solidFill>
          </w14:textFill>
        </w:rPr>
        <w:t>二十</w:t>
      </w:r>
      <w:r>
        <w:rPr>
          <w:color w:val="000000" w:themeColor="text1"/>
          <w:sz w:val="22"/>
          <w:szCs w:val="22"/>
          <w:highlight w:val="none"/>
          <w14:textFill>
            <w14:solidFill>
              <w14:schemeClr w14:val="tx1"/>
            </w14:solidFill>
          </w14:textFill>
        </w:rPr>
        <w:t>个工作日内验收</w:t>
      </w:r>
      <w:r>
        <w:rPr>
          <w:rFonts w:hint="eastAsia"/>
          <w:color w:val="000000" w:themeColor="text1"/>
          <w:sz w:val="22"/>
          <w:szCs w:val="22"/>
          <w:highlight w:val="none"/>
          <w14:textFill>
            <w14:solidFill>
              <w14:schemeClr w14:val="tx1"/>
            </w14:solidFill>
          </w14:textFill>
        </w:rPr>
        <w:t>（质量等隐蔽瑕疵除外）。</w:t>
      </w:r>
    </w:p>
    <w:p>
      <w:pPr>
        <w:pStyle w:val="20"/>
        <w:numPr>
          <w:ilvl w:val="0"/>
          <w:numId w:val="0"/>
        </w:numPr>
        <w:tabs>
          <w:tab w:val="left" w:pos="522"/>
        </w:tabs>
        <w:ind w:left="351" w:leftChars="0" w:right="101" w:rightChars="0"/>
        <w:rPr>
          <w:color w:val="000000" w:themeColor="text1"/>
          <w:sz w:val="22"/>
          <w:szCs w:val="22"/>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2、</w:t>
      </w:r>
      <w:r>
        <w:rPr>
          <w:color w:val="000000" w:themeColor="text1"/>
          <w:sz w:val="22"/>
          <w:szCs w:val="22"/>
          <w:highlight w:val="none"/>
          <w14:textFill>
            <w14:solidFill>
              <w14:schemeClr w14:val="tx1"/>
            </w14:solidFill>
          </w14:textFill>
        </w:rPr>
        <w:t>乙方交货前应对产品作出全面检查和对验收文件进行整理，</w:t>
      </w:r>
      <w:r>
        <w:rPr>
          <w:color w:val="000000" w:themeColor="text1"/>
          <w:sz w:val="22"/>
          <w:szCs w:val="22"/>
          <w14:textFill>
            <w14:solidFill>
              <w14:schemeClr w14:val="tx1"/>
            </w14:solidFill>
          </w14:textFill>
        </w:rPr>
        <w:t>并列出清单，作为甲方收货验收和使用的技术条件依据，检验的结果应随货物交甲方。</w:t>
      </w:r>
    </w:p>
    <w:p>
      <w:pPr>
        <w:pStyle w:val="20"/>
        <w:numPr>
          <w:ilvl w:val="0"/>
          <w:numId w:val="0"/>
        </w:numPr>
        <w:tabs>
          <w:tab w:val="left" w:pos="522"/>
        </w:tabs>
        <w:spacing w:before="0"/>
        <w:ind w:left="351" w:leftChars="0" w:right="101" w:righ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3、</w:t>
      </w:r>
      <w:r>
        <w:rPr>
          <w:color w:val="000000" w:themeColor="text1"/>
          <w:sz w:val="22"/>
          <w:szCs w:val="22"/>
          <w14:textFill>
            <w14:solidFill>
              <w14:schemeClr w14:val="tx1"/>
            </w14:solidFill>
          </w14:textFill>
        </w:rPr>
        <w:t>甲方对乙方提供的货物在使用前进行调试时，乙方需负责安装并培训甲方的使用操作人员，并协助甲方一起调试，直到符合技术要求，甲方才做最终验收。</w:t>
      </w:r>
    </w:p>
    <w:p>
      <w:pPr>
        <w:pStyle w:val="20"/>
        <w:numPr>
          <w:ilvl w:val="0"/>
          <w:numId w:val="0"/>
        </w:numPr>
        <w:tabs>
          <w:tab w:val="left" w:pos="522"/>
        </w:tabs>
        <w:spacing w:before="0"/>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4、</w:t>
      </w:r>
      <w:r>
        <w:rPr>
          <w:color w:val="000000" w:themeColor="text1"/>
          <w:sz w:val="22"/>
          <w:szCs w:val="22"/>
          <w14:textFill>
            <w14:solidFill>
              <w14:schemeClr w14:val="tx1"/>
            </w14:solidFill>
          </w14:textFill>
        </w:rPr>
        <w:t>对技术复杂的货物，甲方应请国家认可的专业检测机构参与验收，并由其出具质量检测报告。</w:t>
      </w:r>
    </w:p>
    <w:p>
      <w:pPr>
        <w:pStyle w:val="20"/>
        <w:numPr>
          <w:ilvl w:val="0"/>
          <w:numId w:val="0"/>
        </w:numPr>
        <w:tabs>
          <w:tab w:val="left" w:pos="522"/>
        </w:tabs>
        <w:spacing w:before="22"/>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5、</w:t>
      </w:r>
      <w:r>
        <w:rPr>
          <w:color w:val="000000" w:themeColor="text1"/>
          <w:sz w:val="22"/>
          <w:szCs w:val="22"/>
          <w14:textFill>
            <w14:solidFill>
              <w14:schemeClr w14:val="tx1"/>
            </w14:solidFill>
          </w14:textFill>
        </w:rPr>
        <w:t>验收时乙方必须在现场，验收完毕后作出验收结果报告；验收费用由乙方负责。</w:t>
      </w:r>
    </w:p>
    <w:p>
      <w:pPr>
        <w:pStyle w:val="20"/>
        <w:numPr>
          <w:ilvl w:val="0"/>
          <w:numId w:val="0"/>
        </w:numPr>
        <w:tabs>
          <w:tab w:val="left" w:pos="522"/>
        </w:tabs>
        <w:spacing w:before="22"/>
        <w:ind w:left="350" w:leftChars="0"/>
        <w:rPr>
          <w:rFonts w:hint="default"/>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6.</w:t>
      </w:r>
      <w:r>
        <w:rPr>
          <w:rFonts w:hint="eastAsia" w:ascii="新宋体" w:hAnsi="新宋体" w:eastAsia="新宋体" w:cs="新宋体"/>
          <w:b w:val="0"/>
          <w:bCs/>
          <w:sz w:val="22"/>
          <w:szCs w:val="22"/>
          <w:highlight w:val="none"/>
        </w:rPr>
        <w:t>验收过程中发现货物性能或功能达不到要求，</w:t>
      </w:r>
      <w:r>
        <w:rPr>
          <w:rFonts w:hint="eastAsia" w:ascii="新宋体" w:hAnsi="新宋体" w:eastAsia="新宋体" w:cs="新宋体"/>
          <w:b w:val="0"/>
          <w:bCs/>
          <w:sz w:val="22"/>
          <w:szCs w:val="22"/>
          <w:highlight w:val="none"/>
          <w:lang w:val="en-US" w:eastAsia="zh-CN"/>
        </w:rPr>
        <w:t>乙</w:t>
      </w:r>
      <w:r>
        <w:rPr>
          <w:rFonts w:hint="eastAsia" w:ascii="新宋体" w:hAnsi="新宋体" w:eastAsia="新宋体" w:cs="新宋体"/>
          <w:b w:val="0"/>
          <w:bCs/>
          <w:sz w:val="22"/>
          <w:szCs w:val="22"/>
          <w:highlight w:val="none"/>
        </w:rPr>
        <w:t>方必须更换有关部件，使货物最终达到规定的性能指标和功能要求，但必须在发现问题后15个工作日内完成。</w:t>
      </w:r>
    </w:p>
    <w:p>
      <w:pPr>
        <w:pStyle w:val="20"/>
        <w:numPr>
          <w:ilvl w:val="0"/>
          <w:numId w:val="0"/>
        </w:numPr>
        <w:tabs>
          <w:tab w:val="left" w:pos="522"/>
        </w:tabs>
        <w:spacing w:before="22"/>
        <w:ind w:left="351" w:leftChars="0"/>
        <w:rPr>
          <w:color w:val="000000" w:themeColor="text1"/>
          <w:sz w:val="22"/>
          <w:szCs w:val="22"/>
          <w14:textFill>
            <w14:solidFill>
              <w14:schemeClr w14:val="tx1"/>
            </w14:solidFill>
          </w14:textFill>
        </w:rPr>
      </w:pPr>
    </w:p>
    <w:p>
      <w:pPr>
        <w:pStyle w:val="3"/>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十二、货物包装</w:t>
      </w:r>
    </w:p>
    <w:p>
      <w:pPr>
        <w:pStyle w:val="20"/>
        <w:numPr>
          <w:ilvl w:val="0"/>
          <w:numId w:val="0"/>
        </w:numPr>
        <w:tabs>
          <w:tab w:val="left" w:pos="522"/>
        </w:tabs>
        <w:spacing w:before="22"/>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乙方应在货物发运前对其进行满足运输距离、防潮、防震、防锈和防破损装卸等要求包装，以保证货物安全运达甲方指定地点。</w:t>
      </w:r>
    </w:p>
    <w:p>
      <w:pPr>
        <w:pStyle w:val="20"/>
        <w:numPr>
          <w:ilvl w:val="0"/>
          <w:numId w:val="0"/>
        </w:numPr>
        <w:tabs>
          <w:tab w:val="left" w:pos="522"/>
        </w:tabs>
        <w:spacing w:before="22"/>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rFonts w:hint="eastAsia"/>
          <w:color w:val="000000" w:themeColor="text1"/>
          <w:sz w:val="22"/>
          <w:szCs w:val="22"/>
          <w14:textFill>
            <w14:solidFill>
              <w14:schemeClr w14:val="tx1"/>
            </w14:solidFill>
          </w14:textFill>
        </w:rPr>
        <w:t>使用说明书、质量检验证明书、随配附件和工具以及清单一并附于货物内。</w:t>
      </w:r>
    </w:p>
    <w:p>
      <w:pPr>
        <w:pStyle w:val="20"/>
        <w:tabs>
          <w:tab w:val="left" w:pos="522"/>
        </w:tabs>
        <w:ind w:left="0" w:right="4471" w:firstLine="0"/>
        <w:rPr>
          <w:b/>
          <w:color w:val="000000" w:themeColor="text1"/>
          <w:sz w:val="22"/>
          <w:szCs w:val="22"/>
          <w14:textFill>
            <w14:solidFill>
              <w14:schemeClr w14:val="tx1"/>
            </w14:solidFill>
          </w14:textFill>
        </w:rPr>
      </w:pPr>
      <w:r>
        <w:rPr>
          <w:rFonts w:hint="eastAsia"/>
          <w:b/>
          <w:color w:val="000000" w:themeColor="text1"/>
          <w:spacing w:val="10"/>
          <w:sz w:val="22"/>
          <w:szCs w:val="22"/>
          <w14:textFill>
            <w14:solidFill>
              <w14:schemeClr w14:val="tx1"/>
            </w14:solidFill>
          </w14:textFill>
        </w:rPr>
        <w:t>十</w:t>
      </w:r>
      <w:r>
        <w:rPr>
          <w:b/>
          <w:color w:val="000000" w:themeColor="text1"/>
          <w:spacing w:val="10"/>
          <w:sz w:val="22"/>
          <w:szCs w:val="22"/>
          <w14:textFill>
            <w14:solidFill>
              <w14:schemeClr w14:val="tx1"/>
            </w14:solidFill>
          </w14:textFill>
        </w:rPr>
        <w:t>三、违约责任</w:t>
      </w:r>
    </w:p>
    <w:p>
      <w:pPr>
        <w:pStyle w:val="20"/>
        <w:numPr>
          <w:ilvl w:val="0"/>
          <w:numId w:val="0"/>
        </w:numPr>
        <w:tabs>
          <w:tab w:val="left" w:pos="522"/>
        </w:tabs>
        <w:spacing w:before="0"/>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甲方无正当理由拒收货物的，甲方向乙方</w:t>
      </w:r>
      <w:r>
        <w:rPr>
          <w:rFonts w:hint="eastAsia"/>
          <w:color w:val="000000" w:themeColor="text1"/>
          <w:sz w:val="22"/>
          <w:szCs w:val="22"/>
          <w:lang w:eastAsia="zh-CN"/>
          <w14:textFill>
            <w14:solidFill>
              <w14:schemeClr w14:val="tx1"/>
            </w14:solidFill>
          </w14:textFill>
        </w:rPr>
        <w:t>支付</w:t>
      </w:r>
      <w:r>
        <w:rPr>
          <w:color w:val="000000" w:themeColor="text1"/>
          <w:sz w:val="22"/>
          <w:szCs w:val="22"/>
          <w14:textFill>
            <w14:solidFill>
              <w14:schemeClr w14:val="tx1"/>
            </w14:solidFill>
          </w14:textFill>
        </w:rPr>
        <w:t>拒收货款总值的百分之五违约金。</w:t>
      </w:r>
    </w:p>
    <w:p>
      <w:pPr>
        <w:pStyle w:val="20"/>
        <w:numPr>
          <w:ilvl w:val="0"/>
          <w:numId w:val="0"/>
        </w:numPr>
        <w:tabs>
          <w:tab w:val="left" w:pos="522"/>
        </w:tabs>
        <w:spacing w:before="0"/>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乙方逾期交付货物的，乙方应按</w:t>
      </w:r>
      <w:r>
        <w:rPr>
          <w:rFonts w:hint="eastAsia"/>
          <w:color w:val="000000" w:themeColor="text1"/>
          <w:sz w:val="22"/>
          <w:szCs w:val="22"/>
          <w:lang w:val="en-US" w:eastAsia="zh-CN"/>
          <w14:textFill>
            <w14:solidFill>
              <w14:schemeClr w14:val="tx1"/>
            </w14:solidFill>
          </w14:textFill>
        </w:rPr>
        <w:t>合同总额</w:t>
      </w:r>
      <w:r>
        <w:rPr>
          <w:color w:val="000000" w:themeColor="text1"/>
          <w:sz w:val="22"/>
          <w:szCs w:val="22"/>
          <w14:textFill>
            <w14:solidFill>
              <w14:schemeClr w14:val="tx1"/>
            </w14:solidFill>
          </w14:textFill>
        </w:rPr>
        <w:t>每日千分之六向甲方支付违约金，由甲方从待付货款中扣除。逾期超过约定日期</w:t>
      </w:r>
      <w:r>
        <w:rPr>
          <w:rFonts w:hint="eastAsia"/>
          <w:color w:val="000000" w:themeColor="text1"/>
          <w:sz w:val="22"/>
          <w:szCs w:val="22"/>
          <w14:textFill>
            <w14:solidFill>
              <w14:schemeClr w14:val="tx1"/>
            </w14:solidFill>
          </w14:textFill>
        </w:rPr>
        <w:t>10个工作日不能交货的，甲方可解除本合同。乙方因逾期交货或因其他违约行为导致甲方解除合同的，乙方应向甲方支付合同总值</w:t>
      </w:r>
      <w:r>
        <w:rPr>
          <w:rFonts w:hint="eastAsia"/>
          <w:color w:val="000000" w:themeColor="text1"/>
          <w:sz w:val="22"/>
          <w:szCs w:val="22"/>
          <w:lang w:val="en-US" w:eastAsia="zh-CN"/>
          <w14:textFill>
            <w14:solidFill>
              <w14:schemeClr w14:val="tx1"/>
            </w14:solidFill>
          </w14:textFill>
        </w:rPr>
        <w:t xml:space="preserve"> </w:t>
      </w:r>
      <w:r>
        <w:rPr>
          <w:rFonts w:hint="eastAsia"/>
          <w:color w:val="000000" w:themeColor="text1"/>
          <w:sz w:val="22"/>
          <w:szCs w:val="22"/>
          <w14:textFill>
            <w14:solidFill>
              <w14:schemeClr w14:val="tx1"/>
            </w14:solidFill>
          </w14:textFill>
        </w:rPr>
        <w:t>5%</w:t>
      </w:r>
      <w:r>
        <w:rPr>
          <w:rFonts w:hint="eastAsia"/>
          <w:color w:val="000000" w:themeColor="text1"/>
          <w:sz w:val="22"/>
          <w:szCs w:val="22"/>
          <w:lang w:val="en-US" w:eastAsia="zh-CN"/>
          <w14:textFill>
            <w14:solidFill>
              <w14:schemeClr w14:val="tx1"/>
            </w14:solidFill>
          </w14:textFill>
        </w:rPr>
        <w:t xml:space="preserve"> </w:t>
      </w:r>
      <w:r>
        <w:rPr>
          <w:rFonts w:hint="eastAsia"/>
          <w:color w:val="000000" w:themeColor="text1"/>
          <w:sz w:val="22"/>
          <w:szCs w:val="22"/>
          <w14:textFill>
            <w14:solidFill>
              <w14:schemeClr w14:val="tx1"/>
            </w14:solidFill>
          </w14:textFill>
        </w:rPr>
        <w:t>的违约金，如造成甲方损失超过违约金的，超出部分由乙方继续承担赔偿责任。</w:t>
      </w:r>
    </w:p>
    <w:p>
      <w:pPr>
        <w:pStyle w:val="20"/>
        <w:numPr>
          <w:ilvl w:val="0"/>
          <w:numId w:val="0"/>
        </w:numPr>
        <w:tabs>
          <w:tab w:val="left" w:pos="522"/>
        </w:tabs>
        <w:spacing w:before="0"/>
        <w:ind w:left="351" w:leftChars="0"/>
        <w:rPr>
          <w:rFonts w:hint="eastAsia"/>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3、</w:t>
      </w:r>
      <w:r>
        <w:rPr>
          <w:rFonts w:hint="eastAsia"/>
          <w:color w:val="000000" w:themeColor="text1"/>
          <w:sz w:val="22"/>
          <w:szCs w:val="22"/>
          <w14:textFill>
            <w14:solidFill>
              <w14:schemeClr w14:val="tx1"/>
            </w14:solidFill>
          </w14:textFill>
        </w:rPr>
        <w:t>乙方所交的货物品种、型号、规格、技术参数、质量不符合合同</w:t>
      </w:r>
      <w:r>
        <w:rPr>
          <w:rFonts w:hint="eastAsia"/>
          <w:color w:val="000000" w:themeColor="text1"/>
          <w:sz w:val="22"/>
          <w:szCs w:val="22"/>
          <w:lang w:eastAsia="zh-CN"/>
          <w14:textFill>
            <w14:solidFill>
              <w14:schemeClr w14:val="tx1"/>
            </w14:solidFill>
          </w14:textFill>
        </w:rPr>
        <w:t>约定</w:t>
      </w:r>
      <w:r>
        <w:rPr>
          <w:rFonts w:hint="eastAsia"/>
          <w:color w:val="000000" w:themeColor="text1"/>
          <w:sz w:val="22"/>
          <w:szCs w:val="22"/>
          <w14:textFill>
            <w14:solidFill>
              <w14:schemeClr w14:val="tx1"/>
            </w14:solidFill>
          </w14:textFill>
        </w:rPr>
        <w:t>及招标文件规定标准的，甲方有权拒收该货物，乙方愿意更换货物，但逾期交货的，按乙方逾期交货处理。乙方拒绝更换货物的，甲方可单方面解除合同。</w:t>
      </w:r>
    </w:p>
    <w:p>
      <w:pPr>
        <w:pStyle w:val="20"/>
        <w:numPr>
          <w:ilvl w:val="0"/>
          <w:numId w:val="0"/>
        </w:numPr>
        <w:tabs>
          <w:tab w:val="left" w:pos="522"/>
        </w:tabs>
        <w:spacing w:before="0"/>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4.</w:t>
      </w:r>
      <w:r>
        <w:rPr>
          <w:rFonts w:hint="eastAsia"/>
          <w:color w:val="000000" w:themeColor="text1"/>
          <w:sz w:val="22"/>
          <w:szCs w:val="22"/>
          <w:lang w:eastAsia="zh-CN"/>
          <w14:textFill>
            <w14:solidFill>
              <w14:schemeClr w14:val="tx1"/>
            </w14:solidFill>
          </w14:textFill>
        </w:rPr>
        <w:t>由于乙方所提供的货物存在问题，给第三人人身或财产造成损害的，由乙方承担赔偿责任。若甲方承担赔偿责任后，有权向乙方追偿，包括但不限于律师费、诉讼费、交通费等。</w:t>
      </w:r>
    </w:p>
    <w:p>
      <w:pPr>
        <w:pStyle w:val="20"/>
        <w:numPr>
          <w:ilvl w:val="0"/>
          <w:numId w:val="0"/>
        </w:numPr>
        <w:ind w:left="350" w:leftChars="0"/>
        <w:rPr>
          <w:rFonts w:hint="eastAsia"/>
          <w:color w:val="000000" w:themeColor="text1"/>
          <w:sz w:val="22"/>
          <w:szCs w:val="22"/>
          <w14:textFill>
            <w14:solidFill>
              <w14:schemeClr w14:val="tx1"/>
            </w14:solidFill>
          </w14:textFill>
        </w:rPr>
      </w:pPr>
    </w:p>
    <w:p>
      <w:pPr>
        <w:pStyle w:val="3"/>
        <w:spacing w:before="8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十四、不可抗力事件处理</w:t>
      </w:r>
    </w:p>
    <w:p>
      <w:pPr>
        <w:pStyle w:val="20"/>
        <w:numPr>
          <w:ilvl w:val="0"/>
          <w:numId w:val="0"/>
        </w:numPr>
        <w:tabs>
          <w:tab w:val="left" w:pos="522"/>
        </w:tabs>
        <w:spacing w:before="106"/>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在合同有效期内，任何一方因不可抗力事件导致不能履行合同，</w:t>
      </w:r>
      <w:r>
        <w:rPr>
          <w:rFonts w:hint="eastAsia"/>
          <w:color w:val="000000" w:themeColor="text1"/>
          <w:sz w:val="22"/>
          <w:szCs w:val="22"/>
          <w14:textFill>
            <w14:solidFill>
              <w14:schemeClr w14:val="tx1"/>
            </w14:solidFill>
          </w14:textFill>
        </w:rPr>
        <w:t>双方协商后，</w:t>
      </w:r>
      <w:r>
        <w:rPr>
          <w:color w:val="000000" w:themeColor="text1"/>
          <w:sz w:val="22"/>
          <w:szCs w:val="22"/>
          <w14:textFill>
            <w14:solidFill>
              <w14:schemeClr w14:val="tx1"/>
            </w14:solidFill>
          </w14:textFill>
        </w:rPr>
        <w:t>则合同履行期可延长，其延长期与不可抗力影响期相同。</w:t>
      </w:r>
    </w:p>
    <w:p>
      <w:pPr>
        <w:pStyle w:val="20"/>
        <w:numPr>
          <w:ilvl w:val="0"/>
          <w:numId w:val="0"/>
        </w:numPr>
        <w:tabs>
          <w:tab w:val="left" w:pos="522"/>
        </w:tabs>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不可抗力事件发生后，应立即通知对方，并寄送有关权威机构出具的证明。</w:t>
      </w:r>
    </w:p>
    <w:p>
      <w:pPr>
        <w:pStyle w:val="20"/>
        <w:numPr>
          <w:ilvl w:val="0"/>
          <w:numId w:val="0"/>
        </w:numPr>
        <w:tabs>
          <w:tab w:val="left" w:pos="522"/>
        </w:tabs>
        <w:spacing w:before="22"/>
        <w:ind w:left="351" w:leftChars="0"/>
        <w:rPr>
          <w:color w:val="000000" w:themeColor="text1"/>
          <w:sz w:val="22"/>
          <w:szCs w:val="22"/>
          <w14:textFill>
            <w14:solidFill>
              <w14:schemeClr w14:val="tx1"/>
            </w14:solidFill>
          </w14:textFill>
        </w:rPr>
      </w:pPr>
      <w:r>
        <w:rPr>
          <w:rFonts w:hint="eastAsia"/>
          <w:color w:val="000000" w:themeColor="text1"/>
          <w:spacing w:val="-3"/>
          <w:sz w:val="22"/>
          <w:szCs w:val="22"/>
          <w:lang w:val="en-US" w:eastAsia="zh-CN"/>
          <w14:textFill>
            <w14:solidFill>
              <w14:schemeClr w14:val="tx1"/>
            </w14:solidFill>
          </w14:textFill>
        </w:rPr>
        <w:t>3、</w:t>
      </w:r>
      <w:r>
        <w:rPr>
          <w:color w:val="000000" w:themeColor="text1"/>
          <w:spacing w:val="-3"/>
          <w:sz w:val="22"/>
          <w:szCs w:val="22"/>
          <w14:textFill>
            <w14:solidFill>
              <w14:schemeClr w14:val="tx1"/>
            </w14:solidFill>
          </w14:textFill>
        </w:rPr>
        <w:t xml:space="preserve">不可抗力事件延续 </w:t>
      </w:r>
      <w:r>
        <w:rPr>
          <w:color w:val="000000" w:themeColor="text1"/>
          <w:sz w:val="22"/>
          <w:szCs w:val="22"/>
          <w14:textFill>
            <w14:solidFill>
              <w14:schemeClr w14:val="tx1"/>
            </w14:solidFill>
          </w14:textFill>
        </w:rPr>
        <w:t>120天以上，双方</w:t>
      </w:r>
      <w:r>
        <w:rPr>
          <w:rFonts w:hint="eastAsia"/>
          <w:color w:val="000000" w:themeColor="text1"/>
          <w:sz w:val="22"/>
          <w:szCs w:val="22"/>
          <w14:textFill>
            <w14:solidFill>
              <w14:schemeClr w14:val="tx1"/>
            </w14:solidFill>
          </w14:textFill>
        </w:rPr>
        <w:t>可以</w:t>
      </w:r>
      <w:r>
        <w:rPr>
          <w:color w:val="000000" w:themeColor="text1"/>
          <w:sz w:val="22"/>
          <w:szCs w:val="22"/>
          <w14:textFill>
            <w14:solidFill>
              <w14:schemeClr w14:val="tx1"/>
            </w14:solidFill>
          </w14:textFill>
        </w:rPr>
        <w:t>通过友好协商，确定是否继续履行合同。</w:t>
      </w:r>
    </w:p>
    <w:p>
      <w:pPr>
        <w:pStyle w:val="3"/>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十五、诉讼</w:t>
      </w:r>
    </w:p>
    <w:p>
      <w:pPr>
        <w:pStyle w:val="4"/>
        <w:spacing w:before="22"/>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双方在执行合同中所发生的一切争议，应通过协商解决。如协商不成，可向甲方所在地法院起诉。</w:t>
      </w:r>
    </w:p>
    <w:p>
      <w:pPr>
        <w:pStyle w:val="3"/>
        <w:spacing w:before="107"/>
        <w:rPr>
          <w:sz w:val="22"/>
          <w:szCs w:val="22"/>
        </w:rPr>
      </w:pPr>
      <w:r>
        <w:rPr>
          <w:sz w:val="22"/>
          <w:szCs w:val="22"/>
        </w:rPr>
        <w:t>十六、合同生效及其它</w:t>
      </w:r>
    </w:p>
    <w:p>
      <w:pPr>
        <w:pStyle w:val="20"/>
        <w:numPr>
          <w:ilvl w:val="0"/>
          <w:numId w:val="0"/>
        </w:numPr>
        <w:tabs>
          <w:tab w:val="left" w:pos="522"/>
        </w:tabs>
        <w:ind w:left="351" w:leftChars="0"/>
        <w:rPr>
          <w:sz w:val="22"/>
          <w:szCs w:val="22"/>
        </w:rPr>
      </w:pPr>
      <w:r>
        <w:rPr>
          <w:rFonts w:hint="eastAsia"/>
          <w:sz w:val="22"/>
          <w:szCs w:val="22"/>
          <w:lang w:val="en-US" w:eastAsia="zh-CN"/>
        </w:rPr>
        <w:t>1、</w:t>
      </w:r>
      <w:r>
        <w:rPr>
          <w:sz w:val="22"/>
          <w:szCs w:val="22"/>
        </w:rPr>
        <w:t>本合同经甲、乙双方签字并加盖</w:t>
      </w:r>
      <w:r>
        <w:rPr>
          <w:rFonts w:hint="eastAsia"/>
          <w:sz w:val="22"/>
          <w:szCs w:val="22"/>
        </w:rPr>
        <w:t>合同专用章或单位公章</w:t>
      </w:r>
      <w:r>
        <w:rPr>
          <w:sz w:val="22"/>
          <w:szCs w:val="22"/>
        </w:rPr>
        <w:t>后生效。</w:t>
      </w:r>
    </w:p>
    <w:p>
      <w:pPr>
        <w:pStyle w:val="20"/>
        <w:numPr>
          <w:ilvl w:val="0"/>
          <w:numId w:val="0"/>
        </w:numPr>
        <w:tabs>
          <w:tab w:val="left" w:pos="522"/>
        </w:tabs>
        <w:ind w:left="351" w:leftChars="0" w:right="101" w:rightChars="0"/>
        <w:rPr>
          <w:sz w:val="22"/>
          <w:szCs w:val="22"/>
        </w:rPr>
      </w:pPr>
      <w:r>
        <w:rPr>
          <w:rFonts w:hint="eastAsia"/>
          <w:sz w:val="22"/>
          <w:szCs w:val="22"/>
          <w:lang w:val="en-US" w:eastAsia="zh-CN"/>
        </w:rPr>
        <w:t>2、</w:t>
      </w:r>
      <w:r>
        <w:rPr>
          <w:sz w:val="22"/>
          <w:szCs w:val="22"/>
        </w:rPr>
        <w:t>招标文件、投标文件、项目采购协议或入围承诺书与本合同具有同等法律效力。如前述各项文件之间约定不一致的，应以最新签署的文件内容为准。</w:t>
      </w:r>
    </w:p>
    <w:p>
      <w:pPr>
        <w:pStyle w:val="20"/>
        <w:numPr>
          <w:ilvl w:val="0"/>
          <w:numId w:val="0"/>
        </w:numPr>
        <w:tabs>
          <w:tab w:val="left" w:pos="522"/>
        </w:tabs>
        <w:spacing w:before="1"/>
        <w:ind w:left="350" w:leftChars="0"/>
        <w:rPr>
          <w:sz w:val="22"/>
          <w:szCs w:val="22"/>
        </w:rPr>
      </w:pPr>
      <w:r>
        <w:rPr>
          <w:rFonts w:hint="eastAsia"/>
          <w:sz w:val="22"/>
          <w:szCs w:val="22"/>
          <w:lang w:val="en-US" w:eastAsia="zh-CN"/>
        </w:rPr>
        <w:t>3、</w:t>
      </w:r>
      <w:r>
        <w:rPr>
          <w:sz w:val="22"/>
          <w:szCs w:val="22"/>
        </w:rPr>
        <w:t>本合同未尽事宜，</w:t>
      </w:r>
      <w:r>
        <w:rPr>
          <w:rFonts w:hint="eastAsia"/>
          <w:sz w:val="22"/>
          <w:szCs w:val="22"/>
        </w:rPr>
        <w:t>以招投标文件为准</w:t>
      </w:r>
      <w:r>
        <w:rPr>
          <w:sz w:val="22"/>
          <w:szCs w:val="22"/>
        </w:rPr>
        <w:t>。</w:t>
      </w:r>
    </w:p>
    <w:p>
      <w:pPr>
        <w:pStyle w:val="20"/>
        <w:numPr>
          <w:ilvl w:val="0"/>
          <w:numId w:val="0"/>
        </w:numPr>
        <w:ind w:left="350" w:leftChars="0"/>
        <w:rPr>
          <w:sz w:val="22"/>
          <w:szCs w:val="22"/>
        </w:rPr>
      </w:pPr>
      <w:r>
        <w:rPr>
          <w:rFonts w:hint="eastAsia"/>
          <w:sz w:val="22"/>
          <w:szCs w:val="22"/>
          <w:lang w:val="en-US" w:eastAsia="zh-CN"/>
        </w:rPr>
        <w:t>4、</w:t>
      </w:r>
      <w:r>
        <w:rPr>
          <w:rFonts w:hint="eastAsia"/>
          <w:sz w:val="22"/>
          <w:szCs w:val="22"/>
        </w:rPr>
        <w:t>本合同一式三份，甲方执二份，乙方执一份，具有同等法律效力。</w:t>
      </w:r>
    </w:p>
    <w:p>
      <w:pPr>
        <w:pStyle w:val="20"/>
        <w:numPr>
          <w:ilvl w:val="0"/>
          <w:numId w:val="0"/>
        </w:numPr>
        <w:ind w:left="350" w:leftChars="0"/>
        <w:rPr>
          <w:sz w:val="22"/>
          <w:szCs w:val="22"/>
        </w:rPr>
      </w:pPr>
      <w:r>
        <w:rPr>
          <w:rFonts w:hint="eastAsia"/>
          <w:sz w:val="22"/>
          <w:szCs w:val="22"/>
          <w:lang w:val="en-US" w:eastAsia="zh-CN"/>
        </w:rPr>
        <w:t>5、</w:t>
      </w:r>
      <w:r>
        <w:rPr>
          <w:rFonts w:hint="eastAsia"/>
          <w:sz w:val="22"/>
          <w:szCs w:val="22"/>
        </w:rPr>
        <w:t>附件设备配置清单系本合同不可分割的组成部分，与本合同具有同等法律效力。</w:t>
      </w:r>
    </w:p>
    <w:p>
      <w:pPr>
        <w:pStyle w:val="4"/>
        <w:spacing w:before="106" w:line="264" w:lineRule="auto"/>
        <w:ind w:left="105" w:right="209"/>
        <w:rPr>
          <w:sz w:val="22"/>
          <w:szCs w:val="22"/>
        </w:rPr>
      </w:pPr>
    </w:p>
    <w:p>
      <w:pPr>
        <w:pStyle w:val="4"/>
        <w:spacing w:before="106" w:line="264" w:lineRule="auto"/>
        <w:ind w:right="209"/>
        <w:rPr>
          <w:sz w:val="22"/>
          <w:szCs w:val="22"/>
        </w:rPr>
      </w:pPr>
    </w:p>
    <w:p>
      <w:pPr>
        <w:pStyle w:val="4"/>
        <w:spacing w:before="106" w:line="264" w:lineRule="auto"/>
        <w:ind w:left="105" w:right="209"/>
        <w:rPr>
          <w:sz w:val="22"/>
          <w:szCs w:val="22"/>
        </w:rPr>
      </w:pPr>
      <w:r>
        <w:rPr>
          <w:rFonts w:hint="eastAsia"/>
          <w:sz w:val="22"/>
          <w:szCs w:val="22"/>
        </w:rPr>
        <w:t>甲方（盖章）： 温州市中医院</w:t>
      </w:r>
      <w:r>
        <w:rPr>
          <w:rFonts w:hint="eastAsia"/>
          <w:sz w:val="22"/>
          <w:szCs w:val="22"/>
        </w:rPr>
        <w:tab/>
      </w:r>
      <w:r>
        <w:rPr>
          <w:rFonts w:hint="eastAsia"/>
          <w:sz w:val="22"/>
          <w:szCs w:val="22"/>
        </w:rPr>
        <w:tab/>
      </w:r>
      <w:r>
        <w:rPr>
          <w:rFonts w:hint="eastAsia"/>
          <w:sz w:val="22"/>
          <w:szCs w:val="22"/>
        </w:rPr>
        <w:t xml:space="preserve">              </w:t>
      </w:r>
      <w:r>
        <w:rPr>
          <w:rFonts w:hint="eastAsia"/>
          <w:sz w:val="22"/>
          <w:szCs w:val="22"/>
          <w:lang w:val="en-US" w:eastAsia="zh-CN"/>
        </w:rPr>
        <w:t xml:space="preserve"> </w:t>
      </w:r>
      <w:r>
        <w:rPr>
          <w:rFonts w:hint="eastAsia"/>
          <w:sz w:val="22"/>
          <w:szCs w:val="22"/>
        </w:rPr>
        <w:t xml:space="preserve">乙方（盖章）：  </w:t>
      </w:r>
    </w:p>
    <w:p>
      <w:pPr>
        <w:pStyle w:val="4"/>
        <w:spacing w:before="106" w:line="264" w:lineRule="auto"/>
        <w:ind w:left="105" w:right="209"/>
        <w:rPr>
          <w:sz w:val="22"/>
          <w:szCs w:val="22"/>
        </w:rPr>
      </w:pPr>
      <w:r>
        <w:rPr>
          <w:rFonts w:hint="eastAsia"/>
          <w:sz w:val="22"/>
          <w:szCs w:val="22"/>
        </w:rPr>
        <w:t>地址：温州市六虹桥路蛟尾路9号                   地址：</w:t>
      </w:r>
    </w:p>
    <w:p>
      <w:pPr>
        <w:pStyle w:val="4"/>
        <w:spacing w:before="106" w:line="264" w:lineRule="auto"/>
        <w:ind w:left="105" w:right="209"/>
        <w:rPr>
          <w:sz w:val="22"/>
          <w:szCs w:val="22"/>
        </w:rPr>
      </w:pPr>
      <w:r>
        <w:rPr>
          <w:rFonts w:hint="eastAsia"/>
          <w:sz w:val="22"/>
          <w:szCs w:val="22"/>
        </w:rPr>
        <w:t xml:space="preserve">法定（授权）代表人：                            法定（授权）代表人： </w:t>
      </w:r>
    </w:p>
    <w:p>
      <w:pPr>
        <w:pStyle w:val="4"/>
        <w:spacing w:before="106" w:line="264" w:lineRule="auto"/>
        <w:ind w:left="105" w:right="209"/>
        <w:rPr>
          <w:sz w:val="18"/>
        </w:rPr>
      </w:pPr>
      <w:r>
        <w:rPr>
          <w:rFonts w:hint="eastAsia"/>
          <w:sz w:val="22"/>
          <w:szCs w:val="22"/>
        </w:rPr>
        <w:t>签字日期：    年    月    日                    签字日期：    年   月   日</w:t>
      </w:r>
    </w:p>
    <w:p>
      <w:pPr>
        <w:widowControl/>
        <w:jc w:val="left"/>
        <w:rPr>
          <w:rFonts w:ascii="宋体" w:hAnsi="宋体" w:eastAsia="宋体" w:cs="宋体"/>
          <w:kern w:val="0"/>
          <w:szCs w:val="17"/>
          <w:lang w:val="zh-CN" w:bidi="zh-CN"/>
        </w:rPr>
      </w:pPr>
      <w:r>
        <w:br w:type="page"/>
      </w:r>
    </w:p>
    <w:p>
      <w:pPr>
        <w:jc w:val="center"/>
        <w:rPr>
          <w:b/>
          <w:sz w:val="36"/>
          <w:szCs w:val="36"/>
        </w:rPr>
      </w:pPr>
      <w:r>
        <w:rPr>
          <w:rFonts w:hint="eastAsia"/>
          <w:b/>
          <w:sz w:val="36"/>
          <w:szCs w:val="36"/>
        </w:rPr>
        <w:t>设备配置清单</w:t>
      </w:r>
    </w:p>
    <w:p>
      <w:pPr>
        <w:pStyle w:val="4"/>
        <w:rPr>
          <w:sz w:val="20"/>
        </w:rPr>
      </w:pPr>
    </w:p>
    <w:tbl>
      <w:tblPr>
        <w:tblStyle w:val="11"/>
        <w:tblpPr w:leftFromText="180" w:rightFromText="180" w:vertAnchor="text" w:horzAnchor="margin" w:tblpXSpec="center" w:tblpY="357"/>
        <w:tblOverlap w:val="never"/>
        <w:tblW w:w="9500" w:type="dxa"/>
        <w:tblInd w:w="-3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231"/>
        <w:gridCol w:w="2934"/>
        <w:gridCol w:w="1815"/>
        <w:gridCol w:w="705"/>
        <w:gridCol w:w="111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5" w:type="dxa"/>
          </w:tcPr>
          <w:p>
            <w:pPr>
              <w:jc w:val="center"/>
              <w:rPr>
                <w:b/>
                <w:sz w:val="22"/>
                <w:szCs w:val="22"/>
              </w:rPr>
            </w:pPr>
            <w:r>
              <w:rPr>
                <w:rFonts w:hint="eastAsia"/>
                <w:b/>
                <w:sz w:val="22"/>
                <w:szCs w:val="22"/>
              </w:rPr>
              <w:t>序号</w:t>
            </w:r>
          </w:p>
        </w:tc>
        <w:tc>
          <w:tcPr>
            <w:tcW w:w="1231" w:type="dxa"/>
            <w:vAlign w:val="center"/>
          </w:tcPr>
          <w:p>
            <w:pPr>
              <w:jc w:val="center"/>
              <w:rPr>
                <w:b/>
                <w:sz w:val="22"/>
                <w:szCs w:val="22"/>
              </w:rPr>
            </w:pPr>
            <w:r>
              <w:rPr>
                <w:rFonts w:hint="eastAsia"/>
                <w:b/>
                <w:sz w:val="22"/>
                <w:szCs w:val="22"/>
              </w:rPr>
              <w:t>品牌</w:t>
            </w:r>
          </w:p>
        </w:tc>
        <w:tc>
          <w:tcPr>
            <w:tcW w:w="2934" w:type="dxa"/>
            <w:vAlign w:val="center"/>
          </w:tcPr>
          <w:p>
            <w:pPr>
              <w:jc w:val="center"/>
              <w:rPr>
                <w:b/>
                <w:sz w:val="22"/>
                <w:szCs w:val="22"/>
              </w:rPr>
            </w:pPr>
            <w:r>
              <w:rPr>
                <w:rFonts w:hint="eastAsia"/>
                <w:b/>
                <w:sz w:val="22"/>
                <w:szCs w:val="22"/>
              </w:rPr>
              <w:t>产品名称</w:t>
            </w:r>
          </w:p>
        </w:tc>
        <w:tc>
          <w:tcPr>
            <w:tcW w:w="1815" w:type="dxa"/>
            <w:vAlign w:val="center"/>
          </w:tcPr>
          <w:p>
            <w:pPr>
              <w:jc w:val="center"/>
              <w:rPr>
                <w:b/>
                <w:sz w:val="22"/>
                <w:szCs w:val="22"/>
              </w:rPr>
            </w:pPr>
            <w:r>
              <w:rPr>
                <w:rFonts w:hint="eastAsia"/>
                <w:b/>
                <w:sz w:val="22"/>
                <w:szCs w:val="22"/>
              </w:rPr>
              <w:t>规格型号</w:t>
            </w:r>
          </w:p>
        </w:tc>
        <w:tc>
          <w:tcPr>
            <w:tcW w:w="705" w:type="dxa"/>
            <w:vAlign w:val="center"/>
          </w:tcPr>
          <w:p>
            <w:pPr>
              <w:jc w:val="center"/>
              <w:rPr>
                <w:b/>
                <w:sz w:val="22"/>
                <w:szCs w:val="22"/>
              </w:rPr>
            </w:pPr>
            <w:r>
              <w:rPr>
                <w:rFonts w:hint="eastAsia"/>
                <w:b/>
                <w:sz w:val="22"/>
                <w:szCs w:val="22"/>
              </w:rPr>
              <w:t>数量</w:t>
            </w:r>
          </w:p>
        </w:tc>
        <w:tc>
          <w:tcPr>
            <w:tcW w:w="1110" w:type="dxa"/>
            <w:vAlign w:val="center"/>
          </w:tcPr>
          <w:p>
            <w:pPr>
              <w:jc w:val="center"/>
              <w:rPr>
                <w:b/>
                <w:sz w:val="22"/>
                <w:szCs w:val="22"/>
              </w:rPr>
            </w:pPr>
            <w:r>
              <w:rPr>
                <w:rFonts w:hint="eastAsia"/>
                <w:b/>
                <w:sz w:val="22"/>
                <w:szCs w:val="22"/>
              </w:rPr>
              <w:t>金额（元）</w:t>
            </w:r>
          </w:p>
        </w:tc>
        <w:tc>
          <w:tcPr>
            <w:tcW w:w="930" w:type="dxa"/>
            <w:vAlign w:val="center"/>
          </w:tcPr>
          <w:p>
            <w:pPr>
              <w:jc w:val="center"/>
              <w:rPr>
                <w:b/>
                <w:sz w:val="22"/>
                <w:szCs w:val="22"/>
              </w:rPr>
            </w:pPr>
            <w:r>
              <w:rPr>
                <w:rFonts w:hint="eastAsia"/>
                <w:b/>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2</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3</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4</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5</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6</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7</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8</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9</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10</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11</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12</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13</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14</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bl>
    <w:p>
      <w:pPr>
        <w:pStyle w:val="4"/>
        <w:rPr>
          <w:sz w:val="20"/>
        </w:rPr>
      </w:pPr>
    </w:p>
    <w:p>
      <w:pPr>
        <w:widowControl/>
        <w:jc w:val="left"/>
        <w:rPr>
          <w:rFonts w:ascii="宋体" w:hAnsi="宋体" w:eastAsia="宋体" w:cs="宋体"/>
          <w:kern w:val="0"/>
          <w:sz w:val="20"/>
          <w:szCs w:val="17"/>
          <w:lang w:val="zh-CN" w:bidi="zh-CN"/>
        </w:rPr>
      </w:pPr>
      <w:r>
        <w:rPr>
          <w:sz w:val="20"/>
        </w:rPr>
        <w:br w:type="page"/>
      </w:r>
    </w:p>
    <w:p>
      <w:pPr>
        <w:spacing w:line="440" w:lineRule="exact"/>
        <w:jc w:val="center"/>
        <w:rPr>
          <w:rFonts w:ascii="Calibri" w:hAnsi="Calibri" w:eastAsia="宋体" w:cs="Times New Roman"/>
          <w:b/>
          <w:sz w:val="28"/>
          <w:szCs w:val="28"/>
        </w:rPr>
      </w:pPr>
      <w:r>
        <w:rPr>
          <w:rFonts w:ascii="Calibri" w:hAnsi="Calibri" w:eastAsia="宋体" w:cs="Times New Roman"/>
          <w:b/>
          <w:sz w:val="28"/>
          <w:szCs w:val="28"/>
        </w:rPr>
        <w:t>廉洁购销合同</w:t>
      </w:r>
    </w:p>
    <w:p>
      <w:pPr>
        <w:spacing w:line="440" w:lineRule="exact"/>
        <w:rPr>
          <w:rFonts w:ascii="Calibri" w:hAnsi="Calibri" w:eastAsia="宋体" w:cs="Times New Roman"/>
          <w:bCs/>
          <w:sz w:val="22"/>
          <w:szCs w:val="22"/>
        </w:rPr>
      </w:pPr>
      <w:r>
        <w:rPr>
          <w:rFonts w:ascii="Calibri" w:hAnsi="Calibri" w:eastAsia="宋体" w:cs="Times New Roman"/>
          <w:sz w:val="22"/>
          <w:szCs w:val="22"/>
        </w:rPr>
        <w:t>甲方</w:t>
      </w:r>
      <w:r>
        <w:rPr>
          <w:rFonts w:ascii="Calibri" w:hAnsi="Calibri" w:eastAsia="宋体" w:cs="Times New Roman"/>
          <w:bCs/>
          <w:sz w:val="22"/>
          <w:szCs w:val="22"/>
        </w:rPr>
        <w:t>：</w:t>
      </w:r>
      <w:r>
        <w:rPr>
          <w:rFonts w:hint="eastAsia" w:ascii="Calibri" w:hAnsi="Calibri" w:eastAsia="宋体" w:cs="Times New Roman"/>
          <w:bCs/>
          <w:sz w:val="22"/>
          <w:szCs w:val="22"/>
        </w:rPr>
        <w:t>温州市中医院</w:t>
      </w:r>
    </w:p>
    <w:p>
      <w:pPr>
        <w:spacing w:line="440" w:lineRule="exact"/>
        <w:rPr>
          <w:rFonts w:hint="eastAsia" w:ascii="Calibri" w:hAnsi="Calibri" w:eastAsia="宋体" w:cs="Times New Roman"/>
          <w:bCs/>
          <w:sz w:val="22"/>
          <w:szCs w:val="22"/>
        </w:rPr>
      </w:pPr>
      <w:r>
        <w:rPr>
          <w:rFonts w:ascii="Calibri" w:hAnsi="Calibri" w:eastAsia="宋体" w:cs="Times New Roman"/>
          <w:sz w:val="22"/>
          <w:szCs w:val="22"/>
        </w:rPr>
        <w:t>乙方</w:t>
      </w:r>
      <w:r>
        <w:rPr>
          <w:rFonts w:ascii="Calibri" w:hAnsi="Calibri" w:eastAsia="宋体" w:cs="Times New Roman"/>
          <w:bCs/>
          <w:sz w:val="22"/>
          <w:szCs w:val="22"/>
        </w:rPr>
        <w:t>：</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为进一步加强医疗卫生行风建设，规范医疗卫生机构</w:t>
      </w:r>
      <w:r>
        <w:rPr>
          <w:rFonts w:hint="eastAsia" w:ascii="Calibri" w:hAnsi="Calibri" w:eastAsia="宋体" w:cs="Times New Roman"/>
          <w:bCs/>
          <w:sz w:val="22"/>
          <w:szCs w:val="22"/>
        </w:rPr>
        <w:t>各类</w:t>
      </w:r>
      <w:r>
        <w:rPr>
          <w:rFonts w:ascii="Calibri" w:hAnsi="Calibri" w:eastAsia="宋体" w:cs="Times New Roman"/>
          <w:bCs/>
          <w:sz w:val="22"/>
          <w:szCs w:val="22"/>
        </w:rPr>
        <w:t>购销行为，有效防范商业贿赂行为，营造公平交易、诚实守信的</w:t>
      </w:r>
      <w:r>
        <w:rPr>
          <w:rFonts w:hint="eastAsia" w:ascii="Calibri" w:hAnsi="Calibri" w:eastAsia="宋体" w:cs="Times New Roman"/>
          <w:bCs/>
          <w:sz w:val="22"/>
          <w:szCs w:val="22"/>
        </w:rPr>
        <w:t>“清廉医院”</w:t>
      </w:r>
      <w:r>
        <w:rPr>
          <w:rFonts w:ascii="Calibri" w:hAnsi="Calibri" w:eastAsia="宋体" w:cs="Times New Roman"/>
          <w:bCs/>
          <w:sz w:val="22"/>
          <w:szCs w:val="22"/>
        </w:rPr>
        <w:t>购销环境，经甲、乙双方协商，同意签订本合同，并共同遵守：</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一、甲乙双方按照《</w:t>
      </w:r>
      <w:r>
        <w:rPr>
          <w:rFonts w:hint="eastAsia" w:ascii="Calibri" w:hAnsi="Calibri" w:eastAsia="宋体" w:cs="Times New Roman"/>
          <w:bCs/>
          <w:sz w:val="22"/>
          <w:szCs w:val="22"/>
        </w:rPr>
        <w:t>民法典</w:t>
      </w:r>
      <w:r>
        <w:rPr>
          <w:rFonts w:ascii="Calibri" w:hAnsi="Calibri" w:eastAsia="宋体" w:cs="Times New Roman"/>
          <w:bCs/>
          <w:sz w:val="22"/>
          <w:szCs w:val="22"/>
        </w:rPr>
        <w:t>》</w:t>
      </w:r>
      <w:r>
        <w:rPr>
          <w:rFonts w:hint="eastAsia" w:ascii="Calibri" w:hAnsi="Calibri" w:eastAsia="宋体" w:cs="Times New Roman"/>
          <w:bCs/>
          <w:sz w:val="22"/>
          <w:szCs w:val="22"/>
        </w:rPr>
        <w:t>等相关法规要求，约定</w:t>
      </w:r>
      <w:r>
        <w:rPr>
          <w:rFonts w:ascii="Calibri" w:hAnsi="Calibri" w:eastAsia="宋体" w:cs="Times New Roman"/>
          <w:bCs/>
          <w:sz w:val="22"/>
          <w:szCs w:val="22"/>
        </w:rPr>
        <w:t>购销</w:t>
      </w:r>
      <w:r>
        <w:rPr>
          <w:rFonts w:hint="eastAsia" w:ascii="Calibri" w:hAnsi="Calibri" w:eastAsia="宋体" w:cs="Times New Roman"/>
          <w:bCs/>
          <w:sz w:val="22"/>
          <w:szCs w:val="22"/>
        </w:rPr>
        <w:t>包括但不限于</w:t>
      </w:r>
      <w:r>
        <w:rPr>
          <w:rFonts w:ascii="Calibri" w:hAnsi="Calibri" w:eastAsia="宋体" w:cs="Times New Roman"/>
          <w:bCs/>
          <w:sz w:val="22"/>
          <w:szCs w:val="22"/>
        </w:rPr>
        <w:t>药品、设备、耗材</w:t>
      </w:r>
      <w:r>
        <w:rPr>
          <w:rFonts w:hint="eastAsia" w:ascii="Calibri" w:hAnsi="Calibri" w:eastAsia="宋体" w:cs="Times New Roman"/>
          <w:bCs/>
          <w:sz w:val="22"/>
          <w:szCs w:val="22"/>
        </w:rPr>
        <w:t>、维保</w:t>
      </w:r>
      <w:r>
        <w:rPr>
          <w:rFonts w:ascii="Calibri" w:hAnsi="Calibri" w:eastAsia="宋体" w:cs="Times New Roman"/>
          <w:bCs/>
          <w:sz w:val="22"/>
          <w:szCs w:val="22"/>
        </w:rPr>
        <w:t>等</w:t>
      </w:r>
      <w:r>
        <w:rPr>
          <w:rFonts w:hint="eastAsia" w:ascii="Calibri" w:hAnsi="Calibri" w:eastAsia="宋体" w:cs="Times New Roman"/>
          <w:bCs/>
          <w:sz w:val="22"/>
          <w:szCs w:val="22"/>
        </w:rPr>
        <w:t>货物或服务</w:t>
      </w:r>
      <w:r>
        <w:rPr>
          <w:rFonts w:ascii="Calibri" w:hAnsi="Calibri" w:eastAsia="宋体" w:cs="Times New Roman"/>
          <w:bCs/>
          <w:sz w:val="22"/>
          <w:szCs w:val="22"/>
        </w:rPr>
        <w:t>。</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二、甲方应当严格执行合同验收、入库制度，对采购产品及发票进行查验，不得违反有关规定合同外采购、违价采购或从非规定渠道采购。</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四、严禁甲方工作人员利用任何途径和方式，为乙方统计医师个人及临床科室有关医药产品用量信息，或为乙方统计提供便利。</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五、乙方不得以回扣、宴请等方式影响甲方工作人员采购</w:t>
      </w:r>
      <w:r>
        <w:rPr>
          <w:rFonts w:hint="eastAsia" w:ascii="Calibri" w:hAnsi="Calibri" w:eastAsia="宋体" w:cs="Times New Roman"/>
          <w:bCs/>
          <w:sz w:val="22"/>
          <w:szCs w:val="22"/>
        </w:rPr>
        <w:t>或使用</w:t>
      </w:r>
      <w:r>
        <w:rPr>
          <w:rFonts w:ascii="Calibri" w:hAnsi="Calibri" w:eastAsia="宋体" w:cs="Times New Roman"/>
          <w:bCs/>
          <w:sz w:val="22"/>
          <w:szCs w:val="22"/>
        </w:rPr>
        <w:t>产品的选择权，不得在学术活动中提供旅游、超标准支付食宿费用。</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六、乙方指定</w:t>
      </w:r>
      <w:r>
        <w:rPr>
          <w:rFonts w:ascii="Calibri" w:hAnsi="Calibri" w:eastAsia="宋体" w:cs="Times New Roman"/>
          <w:bCs/>
          <w:sz w:val="22"/>
          <w:szCs w:val="22"/>
          <w:u w:val="single"/>
        </w:rPr>
        <w:t xml:space="preserve">                        </w:t>
      </w:r>
      <w:r>
        <w:rPr>
          <w:rFonts w:ascii="Calibri" w:hAnsi="Calibri" w:eastAsia="宋体" w:cs="Times New Roman"/>
          <w:bCs/>
          <w:sz w:val="22"/>
          <w:szCs w:val="22"/>
        </w:rPr>
        <w:t>作为销售代表洽谈业务。销售代表必须在工作时间到甲方指定地点联系商谈，不得到住院部、门诊部、医技科室等推销产品，不得借故到甲方相关领导、部门负责人及相关工作人员家中访谈并提供任何好处费。</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ascii="Calibri" w:hAnsi="Calibri" w:eastAsia="宋体" w:cs="Times New Roman"/>
          <w:bCs/>
          <w:sz w:val="22"/>
          <w:szCs w:val="22"/>
          <w:shd w:val="clear" w:color="auto" w:fill="FFFFFF"/>
        </w:rPr>
        <w:t>（国卫法制发〔2013〕50号）</w:t>
      </w:r>
      <w:r>
        <w:rPr>
          <w:rFonts w:hint="eastAsia" w:ascii="Calibri" w:hAnsi="Calibri" w:eastAsia="宋体" w:cs="Times New Roman"/>
          <w:bCs/>
          <w:sz w:val="22"/>
          <w:szCs w:val="22"/>
          <w:shd w:val="clear" w:color="auto" w:fill="FFFFFF"/>
        </w:rPr>
        <w:t>及《关于印发医疗机构工作人员廉洁从业九项准则的通知》（国卫医发〔2021〕37号）</w:t>
      </w:r>
      <w:r>
        <w:rPr>
          <w:rFonts w:ascii="Calibri" w:hAnsi="Calibri" w:eastAsia="宋体" w:cs="Times New Roman"/>
          <w:bCs/>
          <w:sz w:val="22"/>
          <w:szCs w:val="22"/>
        </w:rPr>
        <w:t>相关规定处理。</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八、本合同作为购销合同的重要组成部分，与购销合同一并执行，具有同等的法律效力。</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九、本合同一式</w:t>
      </w:r>
      <w:r>
        <w:rPr>
          <w:rFonts w:hint="eastAsia" w:ascii="Calibri" w:hAnsi="Calibri" w:eastAsia="宋体" w:cs="Times New Roman"/>
          <w:bCs/>
          <w:sz w:val="22"/>
          <w:szCs w:val="22"/>
          <w:lang w:val="en-US" w:eastAsia="zh-CN"/>
        </w:rPr>
        <w:t>二</w:t>
      </w:r>
      <w:r>
        <w:rPr>
          <w:rFonts w:ascii="Calibri" w:hAnsi="Calibri" w:eastAsia="宋体" w:cs="Times New Roman"/>
          <w:bCs/>
          <w:sz w:val="22"/>
          <w:szCs w:val="22"/>
        </w:rPr>
        <w:t>份，甲、乙双方各执一份，并从签订之日起生效。</w:t>
      </w:r>
    </w:p>
    <w:p>
      <w:pPr>
        <w:spacing w:line="440" w:lineRule="exact"/>
        <w:rPr>
          <w:rFonts w:ascii="Calibri" w:hAnsi="Calibri" w:eastAsia="宋体" w:cs="Times New Roman"/>
          <w:bCs/>
          <w:sz w:val="22"/>
          <w:szCs w:val="22"/>
        </w:rPr>
      </w:pPr>
    </w:p>
    <w:p>
      <w:pPr>
        <w:spacing w:line="440" w:lineRule="exact"/>
        <w:rPr>
          <w:rFonts w:ascii="Calibri" w:hAnsi="Calibri" w:eastAsia="宋体" w:cs="Times New Roman"/>
          <w:bCs/>
          <w:sz w:val="22"/>
          <w:szCs w:val="22"/>
        </w:rPr>
      </w:pPr>
      <w:r>
        <w:rPr>
          <w:rFonts w:ascii="Calibri" w:hAnsi="Calibri" w:eastAsia="宋体" w:cs="Times New Roman"/>
          <w:bCs/>
          <w:sz w:val="22"/>
          <w:szCs w:val="22"/>
        </w:rPr>
        <w:t xml:space="preserve">甲方（盖章）：                     </w:t>
      </w:r>
      <w:r>
        <w:rPr>
          <w:rFonts w:hint="eastAsia" w:ascii="Calibri" w:hAnsi="Calibri" w:eastAsia="宋体" w:cs="Times New Roman"/>
          <w:bCs/>
          <w:sz w:val="22"/>
          <w:szCs w:val="22"/>
        </w:rPr>
        <w:t xml:space="preserve">       </w:t>
      </w:r>
      <w:r>
        <w:rPr>
          <w:rFonts w:ascii="Calibri" w:hAnsi="Calibri" w:eastAsia="宋体" w:cs="Times New Roman"/>
          <w:bCs/>
          <w:sz w:val="22"/>
          <w:szCs w:val="22"/>
        </w:rPr>
        <w:t>乙方（盖章）：</w:t>
      </w:r>
    </w:p>
    <w:p>
      <w:pPr>
        <w:spacing w:line="440" w:lineRule="exact"/>
        <w:rPr>
          <w:rFonts w:ascii="Calibri" w:hAnsi="Calibri" w:eastAsia="宋体" w:cs="Times New Roman"/>
          <w:bCs/>
          <w:sz w:val="22"/>
          <w:szCs w:val="22"/>
        </w:rPr>
      </w:pPr>
      <w:r>
        <w:rPr>
          <w:rFonts w:ascii="Calibri" w:hAnsi="Calibri" w:eastAsia="宋体" w:cs="Times New Roman"/>
          <w:bCs/>
          <w:sz w:val="22"/>
          <w:szCs w:val="22"/>
        </w:rPr>
        <w:t xml:space="preserve">法定代表人（负责人）：             </w:t>
      </w:r>
      <w:r>
        <w:rPr>
          <w:rFonts w:hint="eastAsia" w:ascii="Calibri" w:hAnsi="Calibri" w:eastAsia="宋体" w:cs="Times New Roman"/>
          <w:bCs/>
          <w:sz w:val="22"/>
          <w:szCs w:val="22"/>
        </w:rPr>
        <w:t xml:space="preserve">       </w:t>
      </w:r>
      <w:r>
        <w:rPr>
          <w:rFonts w:ascii="Calibri" w:hAnsi="Calibri" w:eastAsia="宋体" w:cs="Times New Roman"/>
          <w:bCs/>
          <w:sz w:val="22"/>
          <w:szCs w:val="22"/>
        </w:rPr>
        <w:t>法定代表人（负责人）：</w:t>
      </w:r>
    </w:p>
    <w:p>
      <w:pPr>
        <w:spacing w:line="440" w:lineRule="exact"/>
        <w:rPr>
          <w:rFonts w:ascii="Calibri" w:hAnsi="Calibri" w:eastAsia="宋体" w:cs="Times New Roman"/>
          <w:bCs/>
          <w:sz w:val="22"/>
          <w:szCs w:val="22"/>
        </w:rPr>
      </w:pPr>
      <w:r>
        <w:rPr>
          <w:rFonts w:ascii="Calibri" w:hAnsi="Calibri" w:eastAsia="宋体" w:cs="Times New Roman"/>
          <w:bCs/>
          <w:sz w:val="22"/>
          <w:szCs w:val="22"/>
        </w:rPr>
        <w:t xml:space="preserve">经办人签名：                     </w:t>
      </w:r>
      <w:r>
        <w:rPr>
          <w:rFonts w:hint="eastAsia" w:ascii="Calibri" w:hAnsi="Calibri" w:eastAsia="宋体" w:cs="Times New Roman"/>
          <w:bCs/>
          <w:sz w:val="22"/>
          <w:szCs w:val="22"/>
        </w:rPr>
        <w:t xml:space="preserve">       </w:t>
      </w:r>
      <w:r>
        <w:rPr>
          <w:rFonts w:ascii="Calibri" w:hAnsi="Calibri" w:eastAsia="宋体" w:cs="Times New Roman"/>
          <w:bCs/>
          <w:sz w:val="22"/>
          <w:szCs w:val="22"/>
        </w:rPr>
        <w:t xml:space="preserve"> 经办人签名：</w:t>
      </w:r>
    </w:p>
    <w:p>
      <w:pPr>
        <w:spacing w:line="440" w:lineRule="exact"/>
        <w:ind w:firstLine="550" w:firstLineChars="250"/>
        <w:rPr>
          <w:rFonts w:ascii="Calibri" w:hAnsi="Calibri" w:eastAsia="宋体" w:cs="Times New Roman"/>
          <w:sz w:val="18"/>
          <w:szCs w:val="24"/>
        </w:rPr>
      </w:pPr>
      <w:r>
        <w:rPr>
          <w:rFonts w:ascii="Calibri" w:hAnsi="Calibri" w:eastAsia="宋体" w:cs="Times New Roman"/>
          <w:bCs/>
          <w:sz w:val="22"/>
          <w:szCs w:val="22"/>
        </w:rPr>
        <w:t xml:space="preserve">年   月   日                      </w:t>
      </w:r>
      <w:r>
        <w:rPr>
          <w:rFonts w:hint="eastAsia" w:ascii="Calibri" w:hAnsi="Calibri" w:eastAsia="宋体" w:cs="Times New Roman"/>
          <w:bCs/>
          <w:sz w:val="22"/>
          <w:szCs w:val="22"/>
        </w:rPr>
        <w:t xml:space="preserve">       </w:t>
      </w:r>
      <w:r>
        <w:rPr>
          <w:rFonts w:ascii="Calibri" w:hAnsi="Calibri" w:eastAsia="宋体" w:cs="Times New Roman"/>
          <w:bCs/>
          <w:sz w:val="22"/>
          <w:szCs w:val="22"/>
        </w:rPr>
        <w:t xml:space="preserve"> 年   月  日</w:t>
      </w:r>
    </w:p>
    <w:p>
      <w:pPr>
        <w:jc w:val="center"/>
        <w:rPr>
          <w:rFonts w:asciiTheme="minorEastAsia" w:hAnsiTheme="minorEastAsia"/>
          <w:sz w:val="20"/>
          <w:szCs w:val="17"/>
        </w:rPr>
      </w:pPr>
    </w:p>
    <w:p>
      <w:pPr>
        <w:numPr>
          <w:ilvl w:val="0"/>
          <w:numId w:val="0"/>
        </w:numPr>
        <w:jc w:val="left"/>
        <w:rPr>
          <w:rFonts w:hint="default"/>
          <w:b/>
          <w:bCs/>
          <w:sz w:val="24"/>
          <w:lang w:val="en-US" w:eastAsia="zh-CN"/>
        </w:rPr>
      </w:pPr>
    </w:p>
    <w:sectPr>
      <w:pgSz w:w="11906" w:h="16838"/>
      <w:pgMar w:top="850" w:right="1417" w:bottom="85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Century Gothic">
    <w:altName w:val="Century"/>
    <w:panose1 w:val="020B0502020202020204"/>
    <w:charset w:val="00"/>
    <w:family w:val="swiss"/>
    <w:pitch w:val="default"/>
    <w:sig w:usb0="00000000"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BAE1D"/>
    <w:multiLevelType w:val="singleLevel"/>
    <w:tmpl w:val="11BBAE1D"/>
    <w:lvl w:ilvl="0" w:tentative="0">
      <w:start w:val="1"/>
      <w:numFmt w:val="chineseCounting"/>
      <w:suff w:val="nothing"/>
      <w:lvlText w:val="%1、"/>
      <w:lvlJc w:val="left"/>
      <w:rPr>
        <w:rFonts w:hint="eastAsia"/>
      </w:rPr>
    </w:lvl>
  </w:abstractNum>
  <w:abstractNum w:abstractNumId="1">
    <w:nsid w:val="1CFCF95C"/>
    <w:multiLevelType w:val="singleLevel"/>
    <w:tmpl w:val="1CFCF95C"/>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5MTM1ODcxZjQ3NGE4ODE2Njg0ODFkZTMzOWI0ZjUifQ=="/>
  </w:docVars>
  <w:rsids>
    <w:rsidRoot w:val="00733DD2"/>
    <w:rsid w:val="00026A1F"/>
    <w:rsid w:val="00061188"/>
    <w:rsid w:val="000A2FEB"/>
    <w:rsid w:val="000A5F9B"/>
    <w:rsid w:val="000B2223"/>
    <w:rsid w:val="00154B8C"/>
    <w:rsid w:val="001E31F7"/>
    <w:rsid w:val="0025720F"/>
    <w:rsid w:val="0027418F"/>
    <w:rsid w:val="002902FC"/>
    <w:rsid w:val="002F0826"/>
    <w:rsid w:val="00326C0F"/>
    <w:rsid w:val="003F3199"/>
    <w:rsid w:val="004131B4"/>
    <w:rsid w:val="00420CA3"/>
    <w:rsid w:val="00497393"/>
    <w:rsid w:val="004C713C"/>
    <w:rsid w:val="004E5E1A"/>
    <w:rsid w:val="004E7AFD"/>
    <w:rsid w:val="005147EF"/>
    <w:rsid w:val="005D37B9"/>
    <w:rsid w:val="005E2841"/>
    <w:rsid w:val="00602621"/>
    <w:rsid w:val="00612734"/>
    <w:rsid w:val="00671D4A"/>
    <w:rsid w:val="006A088D"/>
    <w:rsid w:val="00733DD2"/>
    <w:rsid w:val="007F05EF"/>
    <w:rsid w:val="0082310E"/>
    <w:rsid w:val="00855630"/>
    <w:rsid w:val="00863B91"/>
    <w:rsid w:val="008C37D0"/>
    <w:rsid w:val="008E4249"/>
    <w:rsid w:val="0093051F"/>
    <w:rsid w:val="00952609"/>
    <w:rsid w:val="009C1FBF"/>
    <w:rsid w:val="009E136B"/>
    <w:rsid w:val="009E4BCC"/>
    <w:rsid w:val="00A76C33"/>
    <w:rsid w:val="00A808E4"/>
    <w:rsid w:val="00A80B4E"/>
    <w:rsid w:val="00A93480"/>
    <w:rsid w:val="00B4172A"/>
    <w:rsid w:val="00BC00EB"/>
    <w:rsid w:val="00BF3469"/>
    <w:rsid w:val="00C969CF"/>
    <w:rsid w:val="00D06A7D"/>
    <w:rsid w:val="00D4297B"/>
    <w:rsid w:val="00D873FD"/>
    <w:rsid w:val="00D9066A"/>
    <w:rsid w:val="00DD12A9"/>
    <w:rsid w:val="00DE7ADB"/>
    <w:rsid w:val="00E51899"/>
    <w:rsid w:val="00EF7182"/>
    <w:rsid w:val="00F01072"/>
    <w:rsid w:val="00F26748"/>
    <w:rsid w:val="01E94947"/>
    <w:rsid w:val="02B15ED7"/>
    <w:rsid w:val="032B7EBE"/>
    <w:rsid w:val="037761DC"/>
    <w:rsid w:val="037819C8"/>
    <w:rsid w:val="04165086"/>
    <w:rsid w:val="07827398"/>
    <w:rsid w:val="079468F0"/>
    <w:rsid w:val="088815A9"/>
    <w:rsid w:val="0A277157"/>
    <w:rsid w:val="0A323667"/>
    <w:rsid w:val="0A964758"/>
    <w:rsid w:val="0B691EBF"/>
    <w:rsid w:val="0BDB7828"/>
    <w:rsid w:val="0D3C3F90"/>
    <w:rsid w:val="0D6B27A0"/>
    <w:rsid w:val="0D737863"/>
    <w:rsid w:val="0F9D510C"/>
    <w:rsid w:val="10827943"/>
    <w:rsid w:val="109B7C74"/>
    <w:rsid w:val="11D15B1C"/>
    <w:rsid w:val="11D56F8A"/>
    <w:rsid w:val="121B2501"/>
    <w:rsid w:val="12531874"/>
    <w:rsid w:val="129A029D"/>
    <w:rsid w:val="12C9410A"/>
    <w:rsid w:val="136E04B8"/>
    <w:rsid w:val="14C02644"/>
    <w:rsid w:val="157B401A"/>
    <w:rsid w:val="165B3C1A"/>
    <w:rsid w:val="17453125"/>
    <w:rsid w:val="182217CF"/>
    <w:rsid w:val="184F31D7"/>
    <w:rsid w:val="19915A12"/>
    <w:rsid w:val="1A2E6DE6"/>
    <w:rsid w:val="1D3D49CA"/>
    <w:rsid w:val="1D4821A9"/>
    <w:rsid w:val="202B56B1"/>
    <w:rsid w:val="22723315"/>
    <w:rsid w:val="22CF7097"/>
    <w:rsid w:val="232E51F6"/>
    <w:rsid w:val="23705E06"/>
    <w:rsid w:val="23884864"/>
    <w:rsid w:val="24C52651"/>
    <w:rsid w:val="27E45486"/>
    <w:rsid w:val="28DD687E"/>
    <w:rsid w:val="2B057E38"/>
    <w:rsid w:val="2BA52826"/>
    <w:rsid w:val="2D7F5632"/>
    <w:rsid w:val="2E46068D"/>
    <w:rsid w:val="2EB05F76"/>
    <w:rsid w:val="2F3C6CF1"/>
    <w:rsid w:val="2FBD42B3"/>
    <w:rsid w:val="30D412A1"/>
    <w:rsid w:val="30E84F1F"/>
    <w:rsid w:val="316641F0"/>
    <w:rsid w:val="31BF6098"/>
    <w:rsid w:val="31F8416E"/>
    <w:rsid w:val="320E68FB"/>
    <w:rsid w:val="32CE7A3F"/>
    <w:rsid w:val="33951D5C"/>
    <w:rsid w:val="34117E05"/>
    <w:rsid w:val="351B0D6F"/>
    <w:rsid w:val="351B624E"/>
    <w:rsid w:val="35633FD8"/>
    <w:rsid w:val="36AA02C8"/>
    <w:rsid w:val="37C66C9B"/>
    <w:rsid w:val="37D14649"/>
    <w:rsid w:val="37ED55D1"/>
    <w:rsid w:val="3877509F"/>
    <w:rsid w:val="397306B8"/>
    <w:rsid w:val="39BD6D12"/>
    <w:rsid w:val="3BB420F5"/>
    <w:rsid w:val="3DB75172"/>
    <w:rsid w:val="3E9950E6"/>
    <w:rsid w:val="3F1B3C4A"/>
    <w:rsid w:val="402E62DF"/>
    <w:rsid w:val="402F4957"/>
    <w:rsid w:val="405108FA"/>
    <w:rsid w:val="40751336"/>
    <w:rsid w:val="4136403A"/>
    <w:rsid w:val="41EF774F"/>
    <w:rsid w:val="42660058"/>
    <w:rsid w:val="43824C1A"/>
    <w:rsid w:val="43A157C9"/>
    <w:rsid w:val="44195BDC"/>
    <w:rsid w:val="447334B4"/>
    <w:rsid w:val="449C5243"/>
    <w:rsid w:val="449E2D2B"/>
    <w:rsid w:val="458A740C"/>
    <w:rsid w:val="46094A05"/>
    <w:rsid w:val="460A3EB2"/>
    <w:rsid w:val="46A165C4"/>
    <w:rsid w:val="47537CEB"/>
    <w:rsid w:val="477517FF"/>
    <w:rsid w:val="479F5F87"/>
    <w:rsid w:val="497E50E4"/>
    <w:rsid w:val="49CC2349"/>
    <w:rsid w:val="4A254910"/>
    <w:rsid w:val="4AA864D5"/>
    <w:rsid w:val="4B956476"/>
    <w:rsid w:val="4CBE1552"/>
    <w:rsid w:val="4D3D3121"/>
    <w:rsid w:val="4DCB17F7"/>
    <w:rsid w:val="4ED83989"/>
    <w:rsid w:val="5105209D"/>
    <w:rsid w:val="5273518F"/>
    <w:rsid w:val="529E0326"/>
    <w:rsid w:val="53423D16"/>
    <w:rsid w:val="534B0A6F"/>
    <w:rsid w:val="539D45B7"/>
    <w:rsid w:val="53CA557A"/>
    <w:rsid w:val="545A32FC"/>
    <w:rsid w:val="547D6E0D"/>
    <w:rsid w:val="55382DBA"/>
    <w:rsid w:val="55596194"/>
    <w:rsid w:val="557B0928"/>
    <w:rsid w:val="55950B3F"/>
    <w:rsid w:val="56A54B82"/>
    <w:rsid w:val="57784E8F"/>
    <w:rsid w:val="584110E8"/>
    <w:rsid w:val="587C329C"/>
    <w:rsid w:val="595B205E"/>
    <w:rsid w:val="5A4777C5"/>
    <w:rsid w:val="5A6E001E"/>
    <w:rsid w:val="5AE71C9E"/>
    <w:rsid w:val="5CAD7C22"/>
    <w:rsid w:val="5CD36D91"/>
    <w:rsid w:val="5DEC7787"/>
    <w:rsid w:val="5DFE7766"/>
    <w:rsid w:val="60D904D8"/>
    <w:rsid w:val="60F93F09"/>
    <w:rsid w:val="61EE2A98"/>
    <w:rsid w:val="646461A1"/>
    <w:rsid w:val="651E6BDA"/>
    <w:rsid w:val="65D31C24"/>
    <w:rsid w:val="6634293C"/>
    <w:rsid w:val="669F4579"/>
    <w:rsid w:val="677A2F96"/>
    <w:rsid w:val="680678AC"/>
    <w:rsid w:val="683E0693"/>
    <w:rsid w:val="685E7C65"/>
    <w:rsid w:val="68AB5C34"/>
    <w:rsid w:val="694279A9"/>
    <w:rsid w:val="698F00A6"/>
    <w:rsid w:val="6A670A41"/>
    <w:rsid w:val="6A800692"/>
    <w:rsid w:val="6AA92F34"/>
    <w:rsid w:val="6BAC3EA4"/>
    <w:rsid w:val="6BF3478F"/>
    <w:rsid w:val="6D370E4B"/>
    <w:rsid w:val="6DE10695"/>
    <w:rsid w:val="6E0B49D4"/>
    <w:rsid w:val="6E6658CD"/>
    <w:rsid w:val="6E7E61B3"/>
    <w:rsid w:val="6F1A55B9"/>
    <w:rsid w:val="6F9841D5"/>
    <w:rsid w:val="711B411C"/>
    <w:rsid w:val="73645C00"/>
    <w:rsid w:val="7392213F"/>
    <w:rsid w:val="739F5CC0"/>
    <w:rsid w:val="73F75A9D"/>
    <w:rsid w:val="748F3673"/>
    <w:rsid w:val="755C54CB"/>
    <w:rsid w:val="762B73A9"/>
    <w:rsid w:val="772F4719"/>
    <w:rsid w:val="773504DF"/>
    <w:rsid w:val="77FD6A1D"/>
    <w:rsid w:val="78667688"/>
    <w:rsid w:val="79492020"/>
    <w:rsid w:val="79B62264"/>
    <w:rsid w:val="7A192AA7"/>
    <w:rsid w:val="7B395E66"/>
    <w:rsid w:val="7C0B3B0A"/>
    <w:rsid w:val="7C4831AB"/>
    <w:rsid w:val="7CA6287C"/>
    <w:rsid w:val="7DF15FE5"/>
    <w:rsid w:val="7E4702F4"/>
    <w:rsid w:val="7E677C6B"/>
    <w:rsid w:val="7FD75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1"/>
    <w:pPr>
      <w:autoSpaceDE w:val="0"/>
      <w:autoSpaceDN w:val="0"/>
      <w:spacing w:before="106"/>
      <w:ind w:left="105"/>
      <w:jc w:val="left"/>
      <w:outlineLvl w:val="1"/>
    </w:pPr>
    <w:rPr>
      <w:rFonts w:ascii="宋体" w:hAnsi="宋体" w:eastAsia="宋体" w:cs="宋体"/>
      <w:b/>
      <w:bCs/>
      <w:kern w:val="0"/>
      <w:sz w:val="17"/>
      <w:szCs w:val="17"/>
      <w:lang w:val="zh-CN" w:bidi="zh-CN"/>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1"/>
    <w:pPr>
      <w:autoSpaceDE w:val="0"/>
      <w:autoSpaceDN w:val="0"/>
      <w:jc w:val="left"/>
    </w:pPr>
    <w:rPr>
      <w:rFonts w:ascii="宋体" w:hAnsi="宋体" w:eastAsia="宋体" w:cs="宋体"/>
      <w:kern w:val="0"/>
      <w:sz w:val="17"/>
      <w:szCs w:val="17"/>
      <w:lang w:val="zh-CN" w:bidi="zh-CN"/>
    </w:rPr>
  </w:style>
  <w:style w:type="paragraph" w:styleId="5">
    <w:name w:val="Plain Text"/>
    <w:basedOn w:val="1"/>
    <w:autoRedefine/>
    <w:qFormat/>
    <w:uiPriority w:val="0"/>
    <w:rPr>
      <w:rFonts w:ascii="宋体" w:hAnsi="Courier New" w:cs="Courier New"/>
      <w:szCs w:val="21"/>
    </w:rPr>
  </w:style>
  <w:style w:type="paragraph" w:styleId="6">
    <w:name w:val="footer"/>
    <w:basedOn w:val="1"/>
    <w:link w:val="18"/>
    <w:autoRedefine/>
    <w:unhideWhenUsed/>
    <w:qFormat/>
    <w:uiPriority w:val="99"/>
    <w:pPr>
      <w:tabs>
        <w:tab w:val="center" w:pos="4153"/>
        <w:tab w:val="right" w:pos="8306"/>
      </w:tabs>
      <w:snapToGrid w:val="0"/>
      <w:jc w:val="left"/>
    </w:pPr>
    <w:rPr>
      <w:sz w:val="18"/>
      <w:szCs w:val="18"/>
    </w:rPr>
  </w:style>
  <w:style w:type="paragraph" w:styleId="7">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eastAsia="宋体" w:asciiTheme="majorHAnsi" w:hAnsiTheme="majorHAnsi" w:cstheme="majorBidi"/>
      <w:b/>
      <w:bCs/>
      <w:sz w:val="32"/>
      <w:szCs w:val="32"/>
    </w:rPr>
  </w:style>
  <w:style w:type="paragraph" w:styleId="10">
    <w:name w:val="Body Text First Indent"/>
    <w:basedOn w:val="1"/>
    <w:autoRedefine/>
    <w:qFormat/>
    <w:uiPriority w:val="0"/>
    <w:pPr>
      <w:ind w:firstLine="420"/>
    </w:pPr>
    <w:rPr>
      <w:rFonts w:ascii="Calibri" w:hAnsi="Calibri" w:eastAsia="宋体" w:cs="Times New Roman"/>
    </w:rPr>
  </w:style>
  <w:style w:type="table" w:styleId="12">
    <w:name w:val="Table Grid"/>
    <w:basedOn w:val="11"/>
    <w:autoRedefine/>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22"/>
    <w:rPr>
      <w:b/>
    </w:rPr>
  </w:style>
  <w:style w:type="character" w:styleId="15">
    <w:name w:val="Emphasis"/>
    <w:autoRedefine/>
    <w:qFormat/>
    <w:uiPriority w:val="20"/>
    <w:rPr>
      <w:i/>
      <w:iCs/>
    </w:rPr>
  </w:style>
  <w:style w:type="character" w:styleId="16">
    <w:name w:val="Hyperlink"/>
    <w:basedOn w:val="13"/>
    <w:autoRedefine/>
    <w:qFormat/>
    <w:uiPriority w:val="0"/>
    <w:rPr>
      <w:color w:val="0000FF"/>
      <w:u w:val="single"/>
    </w:rPr>
  </w:style>
  <w:style w:type="character" w:customStyle="1" w:styleId="17">
    <w:name w:val="页眉 Char"/>
    <w:basedOn w:val="13"/>
    <w:link w:val="7"/>
    <w:autoRedefine/>
    <w:qFormat/>
    <w:uiPriority w:val="99"/>
    <w:rPr>
      <w:sz w:val="18"/>
      <w:szCs w:val="18"/>
    </w:rPr>
  </w:style>
  <w:style w:type="character" w:customStyle="1" w:styleId="18">
    <w:name w:val="页脚 Char"/>
    <w:basedOn w:val="13"/>
    <w:link w:val="6"/>
    <w:autoRedefine/>
    <w:qFormat/>
    <w:uiPriority w:val="99"/>
    <w:rPr>
      <w:sz w:val="18"/>
      <w:szCs w:val="18"/>
    </w:rPr>
  </w:style>
  <w:style w:type="paragraph" w:customStyle="1" w:styleId="19">
    <w:name w:val="Table Paragraph"/>
    <w:basedOn w:val="1"/>
    <w:autoRedefine/>
    <w:qFormat/>
    <w:uiPriority w:val="1"/>
    <w:pPr>
      <w:autoSpaceDE w:val="0"/>
      <w:autoSpaceDN w:val="0"/>
      <w:jc w:val="left"/>
    </w:pPr>
    <w:rPr>
      <w:rFonts w:ascii="宋体" w:hAnsi="宋体" w:eastAsia="宋体" w:cs="宋体"/>
      <w:kern w:val="0"/>
      <w:sz w:val="22"/>
      <w:lang w:val="zh-CN" w:bidi="zh-CN"/>
    </w:rPr>
  </w:style>
  <w:style w:type="paragraph" w:styleId="20">
    <w:name w:val="List Paragraph"/>
    <w:basedOn w:val="1"/>
    <w:autoRedefine/>
    <w:qFormat/>
    <w:uiPriority w:val="1"/>
    <w:pPr>
      <w:autoSpaceDE w:val="0"/>
      <w:autoSpaceDN w:val="0"/>
      <w:spacing w:before="21"/>
      <w:ind w:left="521" w:hanging="170"/>
      <w:jc w:val="left"/>
    </w:pPr>
    <w:rPr>
      <w:rFonts w:ascii="宋体" w:hAnsi="宋体" w:eastAsia="宋体" w:cs="宋体"/>
      <w:kern w:val="0"/>
      <w:sz w:val="22"/>
      <w:lang w:val="zh-CN" w:bidi="zh-CN"/>
    </w:rPr>
  </w:style>
  <w:style w:type="character" w:customStyle="1" w:styleId="21">
    <w:name w:val="NormalCharacter"/>
    <w:autoRedefine/>
    <w:semiHidden/>
    <w:qFormat/>
    <w:uiPriority w:val="0"/>
  </w:style>
  <w:style w:type="character" w:customStyle="1" w:styleId="22">
    <w:name w:val="font31"/>
    <w:basedOn w:val="13"/>
    <w:autoRedefine/>
    <w:qFormat/>
    <w:uiPriority w:val="0"/>
    <w:rPr>
      <w:rFonts w:hint="eastAsia" w:ascii="宋体" w:hAnsi="宋体" w:eastAsia="宋体" w:cs="宋体"/>
      <w:color w:val="000000"/>
      <w:sz w:val="24"/>
      <w:szCs w:val="24"/>
      <w:u w:val="none"/>
    </w:rPr>
  </w:style>
  <w:style w:type="character" w:customStyle="1" w:styleId="23">
    <w:name w:val="font11"/>
    <w:basedOn w:val="13"/>
    <w:autoRedefine/>
    <w:qFormat/>
    <w:uiPriority w:val="0"/>
    <w:rPr>
      <w:rFonts w:hint="eastAsia" w:ascii="宋体" w:hAnsi="宋体" w:eastAsia="宋体" w:cs="宋体"/>
      <w:color w:val="000000"/>
      <w:sz w:val="24"/>
      <w:szCs w:val="24"/>
      <w:u w:val="none"/>
    </w:rPr>
  </w:style>
  <w:style w:type="character" w:customStyle="1" w:styleId="24">
    <w:name w:val="font41"/>
    <w:basedOn w:val="13"/>
    <w:autoRedefine/>
    <w:qFormat/>
    <w:uiPriority w:val="0"/>
    <w:rPr>
      <w:rFonts w:hint="eastAsia" w:ascii="宋体" w:hAnsi="宋体" w:eastAsia="宋体" w:cs="宋体"/>
      <w:b/>
      <w:bCs/>
      <w:color w:val="000000"/>
      <w:sz w:val="24"/>
      <w:szCs w:val="24"/>
      <w:u w:val="none"/>
    </w:rPr>
  </w:style>
  <w:style w:type="character" w:customStyle="1" w:styleId="25">
    <w:name w:val="Anrede1IhrZeichen"/>
    <w:autoRedefine/>
    <w:qFormat/>
    <w:uiPriority w:val="0"/>
    <w:rPr>
      <w:rFonts w:hint="default" w:ascii="Arial" w:hAnsi="Arial"/>
      <w:sz w:val="20"/>
    </w:rPr>
  </w:style>
  <w:style w:type="paragraph" w:customStyle="1" w:styleId="26">
    <w:name w:val="AbsatzTableFormat"/>
    <w:basedOn w:val="1"/>
    <w:autoRedefine/>
    <w:qFormat/>
    <w:uiPriority w:val="0"/>
    <w:pPr>
      <w:widowControl/>
      <w:jc w:val="left"/>
    </w:pPr>
    <w:rPr>
      <w:rFonts w:ascii="Arial Narrow" w:hAnsi="Arial Narrow"/>
      <w:bCs/>
      <w:kern w:val="0"/>
      <w:sz w:val="22"/>
      <w:szCs w:val="21"/>
      <w:lang w:val="de-DE"/>
    </w:rPr>
  </w:style>
  <w:style w:type="paragraph" w:customStyle="1" w:styleId="27">
    <w:name w:val="Plain Text1"/>
    <w:basedOn w:val="28"/>
    <w:autoRedefine/>
    <w:qFormat/>
    <w:uiPriority w:val="0"/>
    <w:pPr>
      <w:widowControl/>
      <w:jc w:val="left"/>
    </w:pPr>
    <w:rPr>
      <w:rFonts w:ascii="宋体" w:hAnsi="Courier New"/>
    </w:rPr>
  </w:style>
  <w:style w:type="paragraph" w:customStyle="1" w:styleId="28">
    <w:name w:val="Normal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9">
    <w:name w:val="正文 A"/>
    <w:autoRedefine/>
    <w:qFormat/>
    <w:uiPriority w:val="0"/>
    <w:pPr>
      <w:widowControl w:val="0"/>
      <w:jc w:val="both"/>
    </w:pPr>
    <w:rPr>
      <w:rFonts w:ascii="Century Gothic" w:hAnsi="Century Gothic" w:eastAsia="Arial Unicode MS"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WZSZYY.CN</Company>
  <Pages>12</Pages>
  <Words>1345</Words>
  <Characters>1408</Characters>
  <Lines>6</Lines>
  <Paragraphs>1</Paragraphs>
  <TotalTime>5</TotalTime>
  <ScaleCrop>false</ScaleCrop>
  <LinksUpToDate>false</LinksUpToDate>
  <CharactersWithSpaces>1412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2020-04-25T02:43:00Z</dcterms:created>
  <dc:creator>test</dc:creator>
  <cp:lastModifiedBy>李恩贤</cp:lastModifiedBy>
  <dcterms:modified xsi:type="dcterms:W3CDTF">2025-09-03T07:06:45Z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eyJoZGlkIjoiMjRiMzIwNTY3MTczYzNiN2UxOGJmYzAxNjg5MjZiNzQifQ==</vt:lpwstr>
  </property>
  <property fmtid="{D5CDD505-2E9C-101B-9397-08002B2CF9AE}" pid="3" name="KSOProductBuildVer">
    <vt:lpwstr>2052-12.1.0.16120</vt:lpwstr>
  </property>
  <property fmtid="{D5CDD505-2E9C-101B-9397-08002B2CF9AE}" pid="4" name="ICV">
    <vt:lpwstr>92D25A4D715C4C30A9434E35F4E6C975_13</vt:lpwstr>
  </property>
  <property fmtid="{D5CDD505-2E9C-101B-9397-08002B2CF9AE}" pid="5" name="KSOTemplateDocerSaveRecord">
    <vt:lpwstr>eyJoZGlkIjoiNmMyMTAzZGJhYmZjM2QxZDk4OTE3MDVkMTNlYTIzODgiLCJ1c2VySWQiOiIyNjc5NjA4NjEifQ==</vt:lpwstr>
  </property>
</Properties>
</file>