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60" w:lineRule="auto"/>
        <w:jc w:val="center"/>
        <w:rPr>
          <w:rFonts w:hint="eastAsia"/>
          <w:b/>
          <w:bCs/>
          <w:sz w:val="28"/>
          <w:szCs w:val="28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4"/>
          <w:szCs w:val="44"/>
        </w:rPr>
        <w:t>温州市中医院</w:t>
      </w:r>
      <w:r>
        <w:rPr>
          <w:rFonts w:hint="eastAsia" w:hAnsi="宋体" w:cs="宋体"/>
          <w:color w:val="000000"/>
          <w:sz w:val="44"/>
          <w:szCs w:val="44"/>
          <w:lang w:val="en-US" w:eastAsia="zh-CN"/>
        </w:rPr>
        <w:t>公车保险购买项目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1" w:name="OLE_LINK1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公车保险购买</w:t>
      </w:r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/年；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cs="宋体"/>
          <w:b/>
          <w:sz w:val="28"/>
          <w:szCs w:val="28"/>
        </w:rPr>
        <w:t>项目内容</w:t>
      </w:r>
      <w:bookmarkStart w:id="2" w:name="_GoBack"/>
      <w:bookmarkEnd w:id="2"/>
    </w:p>
    <w:p>
      <w:pPr>
        <w:numPr>
          <w:ilvl w:val="0"/>
          <w:numId w:val="0"/>
        </w:numPr>
        <w:bidi w:val="0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1、险种、保额</w:t>
      </w:r>
    </w:p>
    <w:p>
      <w:pPr>
        <w:numPr>
          <w:ilvl w:val="0"/>
          <w:numId w:val="0"/>
        </w:numPr>
        <w:bidi w:val="0"/>
        <w:spacing w:line="360" w:lineRule="auto"/>
        <w:ind w:firstLine="42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险种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按机动车保）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：交强险、车损险、第三者责任保险、车上人员责任保险。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交强险保额：</w:t>
      </w:r>
    </w:p>
    <w:tbl>
      <w:tblPr>
        <w:tblStyle w:val="17"/>
        <w:tblW w:w="85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500"/>
        <w:gridCol w:w="30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死亡伤残赔偿限额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无责任死亡伤残赔偿限额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医疗费用赔偿限额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无责任医疗费用赔偿限额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财产损失赔偿限额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无责任财产损失赔偿限额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商业险保额：</w:t>
      </w:r>
    </w:p>
    <w:tbl>
      <w:tblPr>
        <w:tblStyle w:val="17"/>
        <w:tblW w:w="85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05"/>
        <w:gridCol w:w="1530"/>
        <w:gridCol w:w="4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4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险种额度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浙C23816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浙CM86M1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42360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浙CT3J16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浙C8D3R5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303280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浙CS51H0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101622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浙C77ZN8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144840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浙C8A0G6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303280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浙C59DJ0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浙C61643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牵引车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315520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浙C0371挂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半挂车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55680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车辆信息</w:t>
      </w:r>
    </w:p>
    <w:tbl>
      <w:tblPr>
        <w:tblStyle w:val="18"/>
        <w:tblpPr w:leftFromText="180" w:rightFromText="180" w:vertAnchor="text" w:horzAnchor="page" w:tblpX="1277" w:tblpY="259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35"/>
        <w:gridCol w:w="1215"/>
        <w:gridCol w:w="1650"/>
        <w:gridCol w:w="24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车牌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浙C23816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班车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依维柯牌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NJ6593ER6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2011.1.20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浙CM86M1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商务车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奥德赛牌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HG6481BAA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2015.12.25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浙C6XQ57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转运车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申驰牌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SQL5042XJZH2DB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浙C8D3R5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魁士牌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KS5046XJH13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浙CS51H0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西北牌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XB5032XJHXJHLC-M4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2016.3.23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浙C77ZN8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新阳牌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XY5031XJH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2018.10.16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浙C8A0G6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魁士牌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KS5046XJH13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浙C9KK09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程力重工牌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CLH5030XJHJ6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浙C61643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牵引车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豪沃牌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ZZ4257V3210F1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浙C0371挂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半挂车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远东牌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YD92JNAB3M1YDA029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2022.8.16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四、服务期限：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自合同签订之日起生效。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后续折扣率变化（但不得高于本次投标折扣率），合同的生效、终止等事宜最终解释权归采购人。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付款方式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合同签订后，乙方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在甲方车辆保险到期前15天为甲方车辆投保，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保险费用以车辆投保当年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保险实际费用*投标折扣率结算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乙方向甲方开具与合同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金额的发票，甲方在收到发票后3个月内向乙方支付全部合同价款。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其他要求</w:t>
      </w:r>
    </w:p>
    <w:p>
      <w:pPr>
        <w:numPr>
          <w:ilvl w:val="0"/>
          <w:numId w:val="0"/>
        </w:numPr>
        <w:ind w:left="42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资质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）符合《中华人民共和国政府采购法》对投标主体的要求，必须是经中国保险监督管理委员会批准的、具有法定保险执业资格、开展机动车辆保险业务。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）投标单位必须具有浙江省省级机关、事业单位、社会团体组织202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-202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年度公务用车定点保险项目资质。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）持有国家批准从事机动车辆保险业务资格，取得经营车辆保险业务（商业全险、交强险、车船税）许可证的合法企业。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）能独立承担民事责任和履行合同能力，具有良好的商业信益和健全的财务会计管理制度，有依法缴纳税收和社会保障资金的良好记录，在近三年内的经营活动中没有重大违法记录。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）必须有与履行定点保险协议书规定的承保、理赔及其它服务要求的能力。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2、投保方式：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采用指定具体车辆清单的方式进行投保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实际投保险种以医院最终确认为准。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3、报价方式：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采用（保险费用原价*折扣率）的方式进行。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注：保险费用原价是指在没有理赔情况下的基础报价，如后续有车辆出现理赔，那就按实际费用结算。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如有同一保险公司的不同子公司参加询价，以递交标书先后排序，同一保险公司只接受第一家递交标书的子公司参与询价。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本次采购采用电子交易方式，电子交易平台为“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政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采云平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t>https://www.zcygov.cn/）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”。供应商参与本项目电子交易活动前，应通过浙江政府采购网“浙江政府采购供应商信息登记管理系统”进行信息登记，获得线上政府采购活动操作权限。</w:t>
      </w:r>
    </w:p>
    <w:p>
      <w:pPr>
        <w:spacing w:before="120" w:beforeLines="50" w:after="12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1304" w:right="1531" w:bottom="1247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须在“政采云平台浙江省框架协议——财产保险服务项目”的供应商目录里。并提供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证明材料（网页截图或其它证明材料），未提供视为不符合要求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2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11145" w:type="dxa"/>
        <w:tblCellSpacing w:w="15" w:type="dxa"/>
        <w:tblInd w:w="-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655"/>
        <w:gridCol w:w="579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4380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723" w:firstLineChars="3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评分项目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211" w:right="0" w:hanging="211" w:hanging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1、服务方案（40分）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保险服务方案（15分）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服务内容详细、合理，符合相关标准和规范，完全满足采购需求且优于其他投标人，得10-15分；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服务内容较详细和合理，满足采购需求，得5-9分；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服务内容基本响应，但欠完备、欠合理，得0-4分。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理赔服务方案（15分）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方案合理，程序简洁，理赔快速，得10-15分；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方案较合理，程序较简洁，理赔较快，得5-9分；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方案和程序一般，理赔较慢，得0-4分。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增值服务承诺（10分）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提供具有实质性意义的增值服务（如免费道路救援、全国通赔服务、小额案件快速赔付等），每项得2分，满分10分。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2、服务能力（20分）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服务团队配置（12分）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服务团队成员有多年车险从业经验，服务优秀、经验丰富，得9-12分；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服务团队成员有车险从业经验，服务良好、具有一定经验，得5-8分；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服务团队成员有保险从业经验，服务一般、经验欠缺，得1-4分；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未提供材料不得分。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网点覆盖率（5分）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根据投标人服务网点情况说明及保监部门出具的证明材料，评委根据网点覆盖率综合打分，每提供一个服务网点得1分，满分5分。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同类业绩（3分）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投标人提供自2022年1月以来与最终用户签订的单项合同10辆以上（含10辆）的车辆保险项目的保单或合同复印件，每个业绩得1分，满分3分。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3、其他优惠条件（10分）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优惠条件（10分）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投标人每承诺提供1项与本项目采购内容相关的优惠服务条件，得2分，满分10分。优惠条件不得彼此涵盖、重复，否则不计分。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jc w:val="both"/>
        <w:rPr>
          <w:rFonts w:hint="eastAsia" w:ascii="宋体" w:hAnsi="宋体" w:eastAsia="宋体" w:cs="宋体"/>
          <w:b/>
          <w:bCs/>
          <w:spacing w:val="-4"/>
          <w:sz w:val="21"/>
          <w:szCs w:val="21"/>
        </w:rPr>
      </w:pPr>
    </w:p>
    <w:p>
      <w:pPr>
        <w:pStyle w:val="16"/>
        <w:ind w:left="0" w:leftChars="0" w:firstLine="0" w:firstLineChars="0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spacing w:line="360" w:lineRule="auto"/>
        <w:ind w:firstLine="464" w:firstLineChars="200"/>
        <w:rPr>
          <w:rFonts w:hint="eastAsia" w:ascii="宋体" w:hAnsi="宋体" w:eastAsia="宋体" w:cs="宋体"/>
          <w:bCs/>
          <w:spacing w:val="-4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报价评分采用低价优先法计算，即满足招标文件要求且投标价格折扣后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（保险费用原价*折扣率）</w:t>
      </w: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最低的为评标基准价，</w:t>
      </w:r>
      <w:r>
        <w:rPr>
          <w:rFonts w:hint="eastAsia" w:ascii="宋体" w:hAnsi="宋体" w:eastAsia="宋体" w:cs="宋体"/>
          <w:sz w:val="24"/>
          <w:szCs w:val="24"/>
        </w:rPr>
        <w:t>其得分为满分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分。其他投标人的价格分按照下列公式计算：价格分=（评标基准价/投标报价）×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%×100</w:t>
      </w: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（保留小数点后2位，第3位四舍五入）。</w:t>
      </w:r>
    </w:p>
    <w:p>
      <w:pPr>
        <w:pStyle w:val="3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宋体" w:hAnsi="宋体"/>
          <w:sz w:val="22"/>
          <w:szCs w:val="22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温州市中医院公车保险购买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/>
          <w:sz w:val="22"/>
          <w:szCs w:val="22"/>
        </w:rPr>
        <w:t>单位：元</w:t>
      </w:r>
      <w:r>
        <w:rPr>
          <w:rFonts w:hint="eastAsia" w:ascii="宋体" w:hAnsi="宋体"/>
          <w:sz w:val="22"/>
          <w:szCs w:val="22"/>
          <w:lang w:eastAsia="zh-CN"/>
        </w:rPr>
        <w:t>（</w:t>
      </w:r>
      <w:r>
        <w:rPr>
          <w:rFonts w:hint="eastAsia" w:ascii="宋体" w:hAnsi="宋体"/>
          <w:sz w:val="22"/>
          <w:szCs w:val="22"/>
        </w:rPr>
        <w:t>人民币</w:t>
      </w:r>
      <w:r>
        <w:rPr>
          <w:rFonts w:hint="eastAsia" w:ascii="宋体" w:hAnsi="宋体"/>
          <w:sz w:val="22"/>
          <w:szCs w:val="22"/>
          <w:lang w:eastAsia="zh-CN"/>
        </w:rPr>
        <w:t>）</w:t>
      </w:r>
    </w:p>
    <w:tbl>
      <w:tblPr>
        <w:tblStyle w:val="1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41"/>
        <w:gridCol w:w="3996"/>
        <w:gridCol w:w="12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7" w:hRule="atLeast"/>
          <w:jc w:val="center"/>
        </w:trPr>
        <w:tc>
          <w:tcPr>
            <w:tcW w:w="414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bCs/>
                <w:sz w:val="22"/>
                <w:szCs w:val="22"/>
              </w:rPr>
              <w:t>项目名称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Cs/>
                <w:sz w:val="22"/>
                <w:szCs w:val="22"/>
                <w:lang w:val="en-US" w:eastAsia="zh-CN"/>
              </w:rPr>
              <w:t>保险期限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8"/>
              <w:spacing w:line="460" w:lineRule="atLeast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142" w:type="dxa"/>
            <w:gridSpan w:val="2"/>
            <w:noWrap w:val="0"/>
            <w:vAlign w:val="center"/>
          </w:tcPr>
          <w:p>
            <w:pPr>
              <w:spacing w:line="360" w:lineRule="auto"/>
              <w:ind w:firstLine="440" w:firstLineChars="200"/>
              <w:jc w:val="both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温州市中医院公车保险购买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spacing w:line="460" w:lineRule="atLeast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1年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8"/>
              <w:spacing w:line="460" w:lineRule="atLeast"/>
              <w:ind w:firstLine="469"/>
              <w:jc w:val="center"/>
              <w:rPr>
                <w:rFonts w:hint="eastAsia" w:hAnsi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投标报价</w:t>
            </w:r>
          </w:p>
        </w:tc>
        <w:tc>
          <w:tcPr>
            <w:tcW w:w="7718" w:type="dxa"/>
            <w:gridSpan w:val="3"/>
            <w:noWrap w:val="0"/>
            <w:vAlign w:val="center"/>
          </w:tcPr>
          <w:p>
            <w:pPr>
              <w:pStyle w:val="8"/>
              <w:spacing w:line="460" w:lineRule="atLeas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（大写）人民币：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pStyle w:val="8"/>
              <w:spacing w:line="460" w:lineRule="atLeast"/>
              <w:ind w:firstLine="469"/>
              <w:rPr>
                <w:rFonts w:hint="eastAsia" w:hAnsi="宋体"/>
                <w:sz w:val="22"/>
                <w:szCs w:val="22"/>
              </w:rPr>
            </w:pPr>
          </w:p>
        </w:tc>
        <w:tc>
          <w:tcPr>
            <w:tcW w:w="7718" w:type="dxa"/>
            <w:gridSpan w:val="3"/>
            <w:noWrap w:val="0"/>
            <w:vAlign w:val="center"/>
          </w:tcPr>
          <w:p>
            <w:pPr>
              <w:pStyle w:val="8"/>
              <w:spacing w:line="460" w:lineRule="atLeas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（小写）￥：</w:t>
            </w:r>
          </w:p>
        </w:tc>
      </w:tr>
    </w:tbl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</w:t>
      </w:r>
    </w:p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1、全部报价均为税后价。</w:t>
      </w:r>
    </w:p>
    <w:p>
      <w:pPr>
        <w:spacing w:line="450" w:lineRule="exact"/>
        <w:ind w:firstLine="663" w:firstLineChars="300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6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投标人全称（盖章）：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投标人代表（签字）：</w:t>
      </w:r>
    </w:p>
    <w:p>
      <w:pPr>
        <w:spacing w:line="380" w:lineRule="exact"/>
        <w:ind w:firstLine="220" w:firstLineChars="1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    期：</w:t>
      </w:r>
    </w:p>
    <w:p>
      <w:pPr>
        <w:spacing w:line="380" w:lineRule="exact"/>
        <w:rPr>
          <w:rFonts w:hint="eastAsia"/>
        </w:rPr>
      </w:pPr>
    </w:p>
    <w:sectPr>
      <w:footerReference r:id="rId4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- 1 -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71872"/>
    <w:multiLevelType w:val="singleLevel"/>
    <w:tmpl w:val="D427187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N2FlZGQyNmExMDc1YTc1OWIxYmFlNmE1NTFhMT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4BF0E2D"/>
    <w:rsid w:val="058519D7"/>
    <w:rsid w:val="061D51A5"/>
    <w:rsid w:val="061E2864"/>
    <w:rsid w:val="076646E5"/>
    <w:rsid w:val="07986998"/>
    <w:rsid w:val="084B5379"/>
    <w:rsid w:val="08F913E5"/>
    <w:rsid w:val="091E5277"/>
    <w:rsid w:val="09920CE1"/>
    <w:rsid w:val="09980A16"/>
    <w:rsid w:val="09CB578A"/>
    <w:rsid w:val="0C1D374F"/>
    <w:rsid w:val="0CA81A28"/>
    <w:rsid w:val="0F427144"/>
    <w:rsid w:val="0F9C6A6C"/>
    <w:rsid w:val="1124087B"/>
    <w:rsid w:val="11D03062"/>
    <w:rsid w:val="125104AB"/>
    <w:rsid w:val="127E35D2"/>
    <w:rsid w:val="15F0193F"/>
    <w:rsid w:val="16586A57"/>
    <w:rsid w:val="16EF2001"/>
    <w:rsid w:val="17972177"/>
    <w:rsid w:val="17B96491"/>
    <w:rsid w:val="19006747"/>
    <w:rsid w:val="1B951E05"/>
    <w:rsid w:val="1C0A168B"/>
    <w:rsid w:val="1DEA1774"/>
    <w:rsid w:val="1E727C26"/>
    <w:rsid w:val="1F0548A5"/>
    <w:rsid w:val="203F5CE6"/>
    <w:rsid w:val="20A43E5C"/>
    <w:rsid w:val="20C836D6"/>
    <w:rsid w:val="252A6495"/>
    <w:rsid w:val="25DC4098"/>
    <w:rsid w:val="26614AE7"/>
    <w:rsid w:val="26A36964"/>
    <w:rsid w:val="2C0B329E"/>
    <w:rsid w:val="2DCF6290"/>
    <w:rsid w:val="2EE23DA1"/>
    <w:rsid w:val="32E87DD1"/>
    <w:rsid w:val="333746BC"/>
    <w:rsid w:val="33F15215"/>
    <w:rsid w:val="35584BB1"/>
    <w:rsid w:val="35DC779C"/>
    <w:rsid w:val="36F20F59"/>
    <w:rsid w:val="36FF0897"/>
    <w:rsid w:val="37F53C76"/>
    <w:rsid w:val="38620F4A"/>
    <w:rsid w:val="395D6E46"/>
    <w:rsid w:val="3A0D6176"/>
    <w:rsid w:val="3A5C534F"/>
    <w:rsid w:val="3AA307AA"/>
    <w:rsid w:val="3B3C0996"/>
    <w:rsid w:val="3C306982"/>
    <w:rsid w:val="3D4A148F"/>
    <w:rsid w:val="3D766728"/>
    <w:rsid w:val="3F351791"/>
    <w:rsid w:val="40002D3F"/>
    <w:rsid w:val="41D82FF7"/>
    <w:rsid w:val="42417305"/>
    <w:rsid w:val="43AB1C34"/>
    <w:rsid w:val="43F47C2B"/>
    <w:rsid w:val="442D7AA8"/>
    <w:rsid w:val="456D5B99"/>
    <w:rsid w:val="45B222C8"/>
    <w:rsid w:val="464C44CA"/>
    <w:rsid w:val="46AB0BAA"/>
    <w:rsid w:val="49E05655"/>
    <w:rsid w:val="4A9B7985"/>
    <w:rsid w:val="4AFE12BB"/>
    <w:rsid w:val="4B2C08F7"/>
    <w:rsid w:val="4B86017E"/>
    <w:rsid w:val="4BB26B7D"/>
    <w:rsid w:val="4EAB72E4"/>
    <w:rsid w:val="4EDB63EB"/>
    <w:rsid w:val="4F835253"/>
    <w:rsid w:val="50430A48"/>
    <w:rsid w:val="50CF01D2"/>
    <w:rsid w:val="50D4246D"/>
    <w:rsid w:val="51E24360"/>
    <w:rsid w:val="52957526"/>
    <w:rsid w:val="534B5F0C"/>
    <w:rsid w:val="539C47DE"/>
    <w:rsid w:val="54A656ED"/>
    <w:rsid w:val="564451BE"/>
    <w:rsid w:val="56576C9F"/>
    <w:rsid w:val="57A36574"/>
    <w:rsid w:val="58D72375"/>
    <w:rsid w:val="592D3875"/>
    <w:rsid w:val="596D4A2C"/>
    <w:rsid w:val="59863BF8"/>
    <w:rsid w:val="5A1D1FAE"/>
    <w:rsid w:val="5AA12BDF"/>
    <w:rsid w:val="5BF233C2"/>
    <w:rsid w:val="5D924A61"/>
    <w:rsid w:val="5DAF6DF6"/>
    <w:rsid w:val="5E6F3AB2"/>
    <w:rsid w:val="5EB32163"/>
    <w:rsid w:val="5EEC01A1"/>
    <w:rsid w:val="61E865CA"/>
    <w:rsid w:val="62C456BC"/>
    <w:rsid w:val="63750765"/>
    <w:rsid w:val="64F466B7"/>
    <w:rsid w:val="654C0859"/>
    <w:rsid w:val="65896C70"/>
    <w:rsid w:val="65B0017A"/>
    <w:rsid w:val="669F17AA"/>
    <w:rsid w:val="677734BF"/>
    <w:rsid w:val="698C35ED"/>
    <w:rsid w:val="6AD77E43"/>
    <w:rsid w:val="6D072008"/>
    <w:rsid w:val="6FA3415F"/>
    <w:rsid w:val="712E3A4E"/>
    <w:rsid w:val="71BA3A22"/>
    <w:rsid w:val="71CD3E62"/>
    <w:rsid w:val="724D0AFE"/>
    <w:rsid w:val="72B648F6"/>
    <w:rsid w:val="72E83474"/>
    <w:rsid w:val="72F62F44"/>
    <w:rsid w:val="75A35A24"/>
    <w:rsid w:val="77A47413"/>
    <w:rsid w:val="78362761"/>
    <w:rsid w:val="78BC52C2"/>
    <w:rsid w:val="79C72A21"/>
    <w:rsid w:val="79D00993"/>
    <w:rsid w:val="79F966D5"/>
    <w:rsid w:val="7A8D0632"/>
    <w:rsid w:val="7D311748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7">
    <w:name w:val="Body Text Indent"/>
    <w:basedOn w:val="1"/>
    <w:next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8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9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2">
    <w:name w:val="toc 6"/>
    <w:basedOn w:val="1"/>
    <w:next w:val="1"/>
    <w:autoRedefine/>
    <w:qFormat/>
    <w:uiPriority w:val="0"/>
    <w:pPr>
      <w:ind w:left="2100" w:leftChars="1000"/>
    </w:p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paragraph" w:styleId="16">
    <w:name w:val="Body Text First Indent 2"/>
    <w:basedOn w:val="7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18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page number"/>
    <w:basedOn w:val="19"/>
    <w:autoRedefine/>
    <w:qFormat/>
    <w:uiPriority w:val="0"/>
  </w:style>
  <w:style w:type="paragraph" w:customStyle="1" w:styleId="22">
    <w:name w:val="BodyText1I"/>
    <w:basedOn w:val="23"/>
    <w:autoRedefine/>
    <w:qFormat/>
    <w:uiPriority w:val="0"/>
    <w:pPr>
      <w:ind w:firstLine="420" w:firstLineChars="100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表格文字"/>
    <w:basedOn w:val="1"/>
    <w:next w:val="5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5">
    <w:name w:val="页眉 Char"/>
    <w:basedOn w:val="19"/>
    <w:link w:val="10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9"/>
    <w:link w:val="9"/>
    <w:autoRedefine/>
    <w:qFormat/>
    <w:uiPriority w:val="0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  <w:style w:type="character" w:customStyle="1" w:styleId="29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4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市渔业应急处置指挥中心</cp:lastModifiedBy>
  <dcterms:modified xsi:type="dcterms:W3CDTF">2025-07-24T01:50:07Z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