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840"/>
        </w:tabs>
        <w:adjustRightInd/>
        <w:snapToGrid/>
        <w:spacing w:before="120" w:after="120" w:line="300" w:lineRule="exact"/>
        <w:jc w:val="center"/>
        <w:rPr>
          <w:rFonts w:hint="eastAsia"/>
          <w:b/>
          <w:bCs/>
          <w:sz w:val="40"/>
          <w:szCs w:val="40"/>
        </w:rPr>
      </w:pPr>
      <w:bookmarkStart w:id="0" w:name="_Toc451522337"/>
      <w:r>
        <w:rPr>
          <w:rFonts w:hint="eastAsia" w:ascii="宋体" w:hAnsi="宋体" w:eastAsia="宋体" w:cs="宋体"/>
          <w:color w:val="000000"/>
          <w:sz w:val="40"/>
          <w:szCs w:val="40"/>
        </w:rPr>
        <w:t>温州市中医院</w:t>
      </w:r>
      <w:bookmarkEnd w:id="0"/>
      <w:r>
        <w:rPr>
          <w:rFonts w:hint="eastAsia" w:hAnsi="宋体" w:cs="宋体"/>
          <w:color w:val="000000"/>
          <w:sz w:val="40"/>
          <w:szCs w:val="40"/>
          <w:lang w:val="en-US" w:eastAsia="zh-CN"/>
        </w:rPr>
        <w:t>笔记本电脑采购</w:t>
      </w:r>
      <w:r>
        <w:rPr>
          <w:rFonts w:hint="eastAsia" w:ascii="宋体" w:hAnsi="宋体" w:eastAsia="宋体" w:cs="宋体"/>
          <w:color w:val="000000"/>
          <w:sz w:val="40"/>
          <w:szCs w:val="40"/>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eastAsia" w:ascii="宋体" w:hAnsi="宋体" w:eastAsia="宋体" w:cs="宋体"/>
          <w:b w:val="0"/>
          <w:bCs w:val="0"/>
          <w:sz w:val="24"/>
          <w:u w:val="none"/>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bookmarkStart w:id="4" w:name="_GoBack"/>
      <w:bookmarkStart w:id="1" w:name="OLE_LINK2"/>
      <w:r>
        <w:rPr>
          <w:rFonts w:hint="eastAsia" w:ascii="宋体" w:hAnsi="宋体" w:eastAsia="宋体" w:cs="宋体"/>
          <w:b w:val="0"/>
          <w:bCs w:val="0"/>
          <w:sz w:val="24"/>
          <w:szCs w:val="24"/>
          <w:lang w:val="en-US" w:eastAsia="zh-Hans"/>
        </w:rPr>
        <w:t>温州市中医院</w:t>
      </w:r>
      <w:bookmarkStart w:id="2" w:name="OLE_LINK1"/>
      <w:r>
        <w:rPr>
          <w:rFonts w:hint="eastAsia" w:ascii="宋体" w:hAnsi="宋体" w:eastAsia="宋体" w:cs="宋体"/>
          <w:b w:val="0"/>
          <w:bCs w:val="0"/>
          <w:sz w:val="24"/>
          <w:u w:val="none"/>
          <w:lang w:val="en-US" w:eastAsia="zh-CN"/>
        </w:rPr>
        <w:t>笔记本电脑采购</w:t>
      </w:r>
      <w:bookmarkEnd w:id="1"/>
      <w:bookmarkEnd w:id="2"/>
      <w:bookmarkEnd w:id="4"/>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pStyle w:val="7"/>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预算金额：</w:t>
      </w:r>
      <w:r>
        <w:rPr>
          <w:rFonts w:hint="eastAsia" w:ascii="宋体" w:hAnsi="宋体" w:eastAsia="宋体" w:cs="宋体"/>
          <w:b w:val="0"/>
          <w:bCs w:val="0"/>
          <w:sz w:val="24"/>
          <w:szCs w:val="24"/>
          <w:lang w:val="en-US" w:eastAsia="zh-CN"/>
        </w:rPr>
        <w:t>77000元</w:t>
      </w:r>
    </w:p>
    <w:p>
      <w:pPr>
        <w:pStyle w:val="7"/>
        <w:numPr>
          <w:ilvl w:val="0"/>
          <w:numId w:val="2"/>
        </w:numPr>
        <w:spacing w:line="360" w:lineRule="auto"/>
        <w:ind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eastAsia="zh-CN"/>
        </w:rPr>
        <w:t>项目内容及要求</w:t>
      </w:r>
      <w:r>
        <w:rPr>
          <w:rFonts w:hint="eastAsia" w:ascii="宋体" w:hAnsi="宋体" w:eastAsia="宋体" w:cs="宋体"/>
          <w:b/>
          <w:bCs/>
          <w:sz w:val="28"/>
          <w:szCs w:val="28"/>
        </w:rPr>
        <w:t>：</w:t>
      </w:r>
    </w:p>
    <w:p>
      <w:pPr>
        <w:pStyle w:val="7"/>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1、采购内容</w:t>
      </w:r>
    </w:p>
    <w:tbl>
      <w:tblPr>
        <w:tblStyle w:val="13"/>
        <w:tblW w:w="14325"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0"/>
        <w:gridCol w:w="4965"/>
        <w:gridCol w:w="3555"/>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b/>
                <w:bCs/>
                <w:sz w:val="24"/>
                <w:szCs w:val="24"/>
                <w:lang w:val="en-US" w:eastAsia="zh-CN"/>
              </w:rPr>
              <w:t>序号</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b/>
                <w:bCs/>
                <w:sz w:val="24"/>
                <w:szCs w:val="24"/>
                <w:lang w:val="en-US" w:eastAsia="zh-CN"/>
              </w:rPr>
              <w:t>产品名称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b/>
                <w:bCs/>
                <w:sz w:val="24"/>
                <w:szCs w:val="24"/>
              </w:rPr>
              <w:t>数量</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b/>
                <w:bCs/>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4"/>
              </w:rPr>
              <w:t>1</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宋体" w:hAnsi="宋体" w:eastAsia="宋体" w:cs="宋体"/>
                <w:i w:val="0"/>
                <w:iCs w:val="0"/>
                <w:color w:val="000000"/>
                <w:sz w:val="22"/>
                <w:szCs w:val="22"/>
                <w:u w:val="none"/>
                <w:lang w:val="en-US"/>
              </w:rPr>
            </w:pPr>
            <w:r>
              <w:rPr>
                <w:rFonts w:hint="eastAsia" w:ascii="宋体" w:hAnsi="宋体" w:eastAsia="宋体" w:cs="宋体"/>
                <w:b w:val="0"/>
                <w:bCs w:val="0"/>
                <w:sz w:val="24"/>
                <w:lang w:val="en-US" w:eastAsia="zh-CN"/>
              </w:rPr>
              <w:t>笔记本电脑</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24"/>
                <w:lang w:val="en-US" w:eastAsia="zh-CN"/>
              </w:rPr>
              <w:t>台</w:t>
            </w:r>
          </w:p>
        </w:tc>
      </w:tr>
    </w:tbl>
    <w:p>
      <w:pPr>
        <w:pStyle w:val="7"/>
        <w:widowControl w:val="0"/>
        <w:numPr>
          <w:ilvl w:val="0"/>
          <w:numId w:val="0"/>
        </w:numPr>
        <w:jc w:val="both"/>
        <w:rPr>
          <w:rFonts w:hint="default" w:ascii="宋体" w:hAnsi="宋体" w:eastAsia="宋体" w:cs="宋体"/>
          <w:sz w:val="24"/>
          <w:lang w:val="en-US" w:eastAsia="zh-CN"/>
        </w:rPr>
      </w:pPr>
    </w:p>
    <w:p>
      <w:pPr>
        <w:pStyle w:val="7"/>
        <w:widowControl w:val="0"/>
        <w:numPr>
          <w:ilvl w:val="0"/>
          <w:numId w:val="0"/>
        </w:numPr>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2、采购</w:t>
      </w:r>
      <w:r>
        <w:rPr>
          <w:b/>
          <w:bCs/>
          <w:sz w:val="24"/>
        </w:rPr>
        <w:t>要求（注：标注★的采购要求为实质性要求，负偏离将视为无效标；）</w:t>
      </w:r>
    </w:p>
    <w:tbl>
      <w:tblPr>
        <w:tblStyle w:val="13"/>
        <w:tblW w:w="1452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8"/>
        <w:gridCol w:w="2997"/>
        <w:gridCol w:w="922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870" w:type="dxa"/>
            <w:gridSpan w:val="3"/>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1659" w:type="dxa"/>
            <w:shd w:val="clear" w:color="auto" w:fill="auto"/>
            <w:vAlign w:val="top"/>
          </w:tcPr>
          <w:p>
            <w:pPr>
              <w:keepNext w:val="0"/>
              <w:keepLines w:val="0"/>
              <w:widowControl/>
              <w:suppressLineNumbers w:val="0"/>
              <w:jc w:val="center"/>
              <w:textAlignment w:val="top"/>
              <w:rPr>
                <w:rFonts w:hint="default" w:ascii="宋体" w:hAnsi="宋体" w:eastAsia="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997" w:type="dxa"/>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9225" w:type="dxa"/>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1659" w:type="dxa"/>
            <w:shd w:val="clear" w:color="auto" w:fill="auto"/>
            <w:vAlign w:val="top"/>
          </w:tcPr>
          <w:p>
            <w:pPr>
              <w:keepNext w:val="0"/>
              <w:keepLines w:val="0"/>
              <w:widowControl/>
              <w:suppressLineNumbers w:val="0"/>
              <w:ind w:firstLine="211" w:firstLineChars="10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评分分值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★CPU</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不低于Intel Core Ultra 7 processor 155H ，主频4.8GHZ，物理核心数16核心，24MB三级缓存，22线程</w:t>
            </w:r>
          </w:p>
        </w:tc>
        <w:tc>
          <w:tcPr>
            <w:tcW w:w="1659"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w:t>
            </w:r>
          </w:p>
        </w:tc>
        <w:tc>
          <w:tcPr>
            <w:tcW w:w="9225" w:type="dxa"/>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内存的最高速率5600MHZ，通道数2个，位宽64BIT</w:t>
            </w:r>
          </w:p>
        </w:tc>
        <w:tc>
          <w:tcPr>
            <w:tcW w:w="1659" w:type="dxa"/>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★内存配置容量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≥32GB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★内存类型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支持DDR5内存</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★内存条配置数量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★主板集成模块</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集成资源扩展模块、计算处理模块、音频扩展模块等，主板的互联拓扑可通过处理器或交换电路实现</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★主板支持的CPU和内存情况</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不低于Intel Core Ultra 7 processor 155H；内存DDR5 5600一个，内存插槽两个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★单内存插槽最大可支持容量（板载内存不涉及）</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≥32GB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★内存插槽满配时支持的最高内存总容量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≥64GB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★固态盘数量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★固态存储容量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≥1TB(M.2 SSD) </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★固态盘数量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★存储设备扩展盘位</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★存储设备其他参与要求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a）固态盘应符合SJ/T11654相关规定；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b）机械硬盘准备时间应不大于30s；侧面固定螺丝孔数量可为4孔或6孔~；工作状态环境温度应满足5℃55℃；其它参数应符合GB/T12628的相关规定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★显卡类型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核芯显卡</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★显示屏屏占比</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★显示屏分辨率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≥1920x1080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★显示屏尺寸</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≥14寸</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★显示屏屏幕比例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★显示屏防蓝光</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LED背光300尼特，防反光IPS显示屏，色域 100% sRGB，刷新率60Hz，TüV低蓝光 </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★显示屏低频闪</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显示屏应支持低频闪≤-35dB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★显示屏防炫目</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显示器镜面反射率≤10%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★传声器数量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★触控板数量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★键盘按键数目</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84键</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★摄像头像素</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红外和1080p混合摄像头，带ThinkShutter隐私开关</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★摄像头分辨率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≥1920★1080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★内置扬声器功率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≥2瓦/个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★内置扬声器频率范围</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100Hz-20kHz35dB及以上</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★内置扬声器总谐波失真</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总谐波失真在300Hz-7kHz频率范围内宜不高于5%</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★内置扬声器最大声压级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最大声压级在粉红噪声播放场景下，工作距离处声压级宜不低于70dB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★键盘键程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0.9mm~2.3mm</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★键盘按键压力</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按键压力宜在0.3～0.8N之间</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★键盘颜色</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★鼠标连接方式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★有线鼠标连接线</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★鼠标DPI分辨率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800~1600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★鼠标其他要求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其它参数应符合GB/T26245的相关规定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★触控板尺寸</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≥70mm×50mm</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★触控板材质</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采用麦拉片或玻璃等材质</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★有线网卡数量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≥1（可通过扩展坞支持）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★USB接口数量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USB接口数量≥4个，至少包含2个USB3.2及2个USBtypec</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★视频接口数量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★输入充电接口数量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★音频接口数量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★电池额定能量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≥57Wh</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★电池充放电次数</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≥500次（常温下500次充放电后电池容量应不低于原始容量的80%）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★电池安全要求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符合GB31241的规定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a)产品表面不应有凹痕、划伤、裂缝、变形和污染等。表面涂层均匀，不应起泡、龟裂、脱落和磨损，金属零部件无锈蚀及其它机械损伤；</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b)产品表面说明功能的文字、符号、标志，应清晰、端正、牢固；</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c)宜在产品显著位置提供运行状态指示功能，并由生产厂商提供详细参数</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a)产品应符合GB/T4208的相关规定；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b)产品内部结构应符合通用部件的安装需要；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c)所有输入输出接口应符合相关国家或行业标准；</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d)产品零部件应紧固无松动，可插拔部件应可靠连接，开关、按钮和其它控制部件应灵活可靠，布局应方便使用；</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e)所有I/O连接器及需插接线缆的部位应预留用户操作空间，方便插拔解锁与插拔线缆；</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f)可插拔板卡插槽部位应预留安装、拆卸或更换板卡空间；</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g)拆装可能接触到的金属剪口或金属尖角部位应做防划伤处理，以保证安全；</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h)整机内部走线应规整，固线结构和位置要合理可靠并做防割线处理，需便于理线和插拔操作，走线应不影响系统各主要部件组装和拆卸；</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i)如需通过孔走线，过线孔应做防割线处理；</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j)各插头位置和插拔方向应合理，应做到插拔无障碍设计，具备防呆设计，有效避免误操作；</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k)各主要部件拆装无障碍，使用常规工具拆装，无特殊拆装工具需求；</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l)各主要部件拆装步骤要少，各自拆装需避免相互干扰；</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m)对于整机或零部件外表面为高亮面的，应粘贴保护膜，保护膜需粘贴牢固，运输、组装等过程不易脱落，撕下无残留；</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n)显示屏的开合机械寿命应能承受至少15000次的显示屏开合，显示屏机械转轴的扭力应保持初始状态下扭力的75%以上；</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o)其它要求应符合GB/T9813.2的相关规定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噪音</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空闲小于等于38dBA满载小于等于45dBA</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产品在环境温度25℃且运行在满载的状态下，可触及面温度范围内应不高于45℃,各表面温度应符合以下要求：</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散热</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A）键帽温度不高于38℃；</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b)键盘间隙温度不高于40℃；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c)掌托温度不高于38℃；</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d)触控板温度不高于38℃；</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e)底壳温度不高于45℃</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★整机能效限定值</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产品能效限定值应达到GB28380-2012标准中能效等级2级及以上</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★整机重量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≤1.59kg（包括电池）</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★整机厚度</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≤23.7mm（不含脚垫）</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★机身颜色</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灰色</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★CPU物理核数</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≥16核</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★CPU主频</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≥4.8GHz</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★CPU末级缓存容量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≥24MB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★CPU支持的内存最高速率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≥5600MT/s</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★内存读写速率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≥3200MT/s</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★显示分辨率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≥1920x1080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★显卡显示芯片核心频率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≥300MHz</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★显存等效频率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≥1000MT/s</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★显卡可支持多屏同时显示数量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显卡应支持2块屏幕同时显示，分辨率应不低于1920×1080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★显示屏刷新率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≥60Hz</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★显示屏位深</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≥8位</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★显示屏色域</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≥100%sRGB</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★显示屏色准</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△E≤3</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★显示屏响应时间</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≤30ms</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★显示屏亮度</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≥250尼特</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★显示屏亮度一致性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★显示屏对比度</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≥500：1</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★显示屏其他参数</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其它参数应符合SJ/T11292的相关规定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★有线网卡速率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最高速率不低于1000Mbps，支持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10Mbps、100Mbps、1000Mbps速率自适应</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★支持无线网络通信技术协议</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WiFi6.0及以上协议</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★无线网卡频宽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≥20MHz</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★电源适配器电源效率</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在20%/50%/100%负载下效率均应不低于87%</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★满载待机性能（LTP）</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≥1.5小时</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★内存扩展接口(板载内存不涉及)</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★主板USB瞬间过流保护</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支持瞬间过流保护功能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★主板防静电保护</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支持防静电保护功能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★I/O接口功能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★显卡外接显示接口</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支持HDMI、Type-C</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★显示功能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支持显示屏，同时应支持外接显示器。显示屏和外接显示器应支持多屏同时显示，显示模式应支持复制模式和扩展模式</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★光驱功能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无光驱</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支持信息存储功能，包括支持易失性存储功能和非易失性存储功能。为提升存储性能和降低存储功耗，非易失性存储宜支持固态存储设备，如SSD/UFS。</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产品应支持外出接口可以与独立的存储设备进行数据交互</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a) 支持网络连接、网络开启/关闭功能；</w:t>
            </w:r>
          </w:p>
        </w:tc>
        <w:tc>
          <w:tcPr>
            <w:tcW w:w="1659" w:type="dxa"/>
            <w:shd w:val="clear" w:color="auto" w:fill="auto"/>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b) 支持访问网络和数据交换功能</w:t>
            </w:r>
          </w:p>
        </w:tc>
        <w:tc>
          <w:tcPr>
            <w:tcW w:w="1659" w:type="dxa"/>
            <w:shd w:val="clear" w:color="auto" w:fill="auto"/>
            <w:vAlign w:val="center"/>
          </w:tcPr>
          <w:p>
            <w:pPr>
              <w:keepNext w:val="0"/>
              <w:keepLines w:val="0"/>
              <w:widowControl/>
              <w:suppressLineNumbers w:val="0"/>
              <w:jc w:val="center"/>
              <w:textAlignment w:val="center"/>
              <w:rPr>
                <w:rStyle w:val="21"/>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★无线网卡频段</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支持双频段</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★数据传输</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支持数据传输能力，并提供数据流量和异常日志记录功能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★蓝牙协议</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支持蓝牙模块，蓝牙协议不低于5.0版本</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★无线网卡标准</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符合GB15629.11所有部分</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★音频接口类型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不少于1个3.5mm孔径的3段式接口</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★视频接口类型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支持HDMI、Type-C</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★HDMI、DP、Type-C显示接口要</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提供Type-C作为显示接口，应支持音频和视频同步输出</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★输入充电接口类型</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支持Type-C接口</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★电源线适配能力</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符合GB15934-2008对于可拆线插头GB15934不做要求</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★中文信息处理要求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符合GB18030的相关规定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★操作系统备份及还原功能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支持操作系统备份及还原功能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★固件备份还原能力</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支持备份及还原固件的功能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★操作系统及驱动升级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支持通过网络、闪存盘等方式对操作系统、驱动进行升级</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★BIOS支持关闭通讯接口</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支持BIOS关闭以太网及USB接口功能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★固件查看信息</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支持查看固件版本、内存信息、主板信息、处理器信息和系统时间信息等功能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★固件设置启动顺序</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支持设置启动顺序功能，并按照设置的启动顺序启动</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★固件设置口令</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支持设置口令、修改口令、验证口令功能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★固件设置网络引导</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支持网络引导启动和关闭功能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★固态存储寿命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TBW≥80TB（条件：240GB硬盘容量）</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★机械硬盘寿命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通电时间≥5万小时</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★显示屏屏幕失效点</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符合GB/T9813.2的要求</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★键盘按键寿命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≥1000万次</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★鼠标按键寿命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≥500万次</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★键盘鼠标线材寿命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键盘鼠标所用线材经±60°弯折不低于3000次，功能、外观完好</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★风扇寿命</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≥4万小时</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★电磁兼容性要求的抗扰度</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符合GB/T9254.2的规定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★环境条件要求的气候环境适应性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★环境条件要求的振动适应性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★环境条件要求的冲击适应性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★环境条件要求的碰撞适应性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★环境条件要求的自由跌落适应性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★环境条件要求的运输包装件跌落适应性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★MTBF测试</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MTBF(m1)≥100万小时</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★常用软件兼容</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支持流式软件、版式软件、浏览器、邮件客户端、解压软件、多媒体、图形图像处理等常用软件</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★数据库兼容</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兼容3个及以上厂商的数据库产品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★中间件兼容</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兼容3个及以上厂商中间件产品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★平台软件兼容</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兼容3个及以上厂商云计算及大数据平台</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★标志、包装、运输和贮存</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符合GB/T9813.2和商品包装政府采购需求标准的相关规定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★配置检查工具</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提供自检测试工具</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★服务响应</w:t>
            </w:r>
          </w:p>
        </w:tc>
        <w:tc>
          <w:tcPr>
            <w:tcW w:w="922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笔记本质保二年及以上</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★服务周期</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笔记本质保二年及以上</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★预装操作系统</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预装符合桌面操作系统政府采购需求标准的正版操作系统</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★培训服务</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供应商提供相关培训服务</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★典型问题解决手册</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供应商提供典型问题解决说明文档或视频</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★厂家升级软件与扩容服务</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提供应商供上门升级部件/软件的增值服务</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★整机质量服务要求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免费服务周期（含换件和维修）应不小于2年</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★合格证书要求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供应商提供产品合格证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★开箱组装/使用指导要求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供应商提供开箱组装/使用指导</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★驱动下载服务要求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供应商提供驱动光盘或下载方式</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★兼容适配软件下载服务要求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供应商提供兼容适配软件下载渠道（光盘、网站）</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★产品部件保障</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保障产品主要部件，应提供6年的备件服务能力(自购买之日起)，或提供可兼容原设备的升级换代产品</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★抗干扰性</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当产品部件出现供应风险时，供应商应通知采购人并提供风险应对方案确保产品的服务保障</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★供应能力证明</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提供供应链稳定承诺书，确保产品的部件在产品服务周期内稳定供货</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kern w:val="0"/>
                <w:sz w:val="21"/>
                <w:szCs w:val="21"/>
                <w:u w:val="none"/>
                <w:lang w:val="en-US" w:eastAsia="zh-CN" w:bidi="ar"/>
              </w:rPr>
              <w:fldChar w:fldCharType="begin"/>
            </w:r>
            <w:r>
              <w:rPr>
                <w:rFonts w:hint="eastAsia" w:ascii="宋体" w:hAnsi="宋体" w:eastAsia="宋体" w:cs="宋体"/>
                <w:i w:val="0"/>
                <w:iCs w:val="0"/>
                <w:kern w:val="0"/>
                <w:sz w:val="21"/>
                <w:szCs w:val="21"/>
                <w:u w:val="none"/>
                <w:lang w:val="en-US" w:eastAsia="zh-CN" w:bidi="ar"/>
              </w:rPr>
              <w:instrText xml:space="preserve"> HYPERLINK "" \l "bookmark3" </w:instrText>
            </w:r>
            <w:r>
              <w:rPr>
                <w:rFonts w:hint="eastAsia" w:ascii="宋体" w:hAnsi="宋体" w:eastAsia="宋体" w:cs="宋体"/>
                <w:i w:val="0"/>
                <w:iCs w:val="0"/>
                <w:kern w:val="0"/>
                <w:sz w:val="21"/>
                <w:szCs w:val="21"/>
                <w:u w:val="none"/>
                <w:lang w:val="en-US" w:eastAsia="zh-CN" w:bidi="ar"/>
              </w:rPr>
              <w:fldChar w:fldCharType="separate"/>
            </w:r>
            <w:r>
              <w:rPr>
                <w:rStyle w:val="17"/>
                <w:rFonts w:hint="eastAsia" w:ascii="宋体" w:hAnsi="宋体" w:eastAsia="宋体" w:cs="宋体"/>
                <w:i w:val="0"/>
                <w:iCs w:val="0"/>
                <w:sz w:val="21"/>
                <w:szCs w:val="21"/>
                <w:u w:val="none"/>
              </w:rPr>
              <w:t>★关键部件安全要求3</w:t>
            </w:r>
            <w:r>
              <w:rPr>
                <w:rFonts w:hint="eastAsia" w:ascii="宋体" w:hAnsi="宋体" w:eastAsia="宋体" w:cs="宋体"/>
                <w:i w:val="0"/>
                <w:iCs w:val="0"/>
                <w:kern w:val="0"/>
                <w:sz w:val="21"/>
                <w:szCs w:val="21"/>
                <w:u w:val="none"/>
                <w:lang w:val="en-US" w:eastAsia="zh-CN" w:bidi="ar"/>
              </w:rPr>
              <w:fldChar w:fldCharType="end"/>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CPU和操作系统等关键部件应当符合安全可靠测评要求</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★密码算法实现</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CPU芯片应符合GM/T0008的相关规定，或芯片密码模块应符合GB/T37092或GM/T0028的相关规定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trPr>
        <w:tc>
          <w:tcPr>
            <w:tcW w:w="6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★信息安全基本要求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a)应符合GB/T39276的5.2的规定；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b)生产厂商应建立漏洞跟踪表，保证产品版本涉及到的漏洞(如驱动程序等)可查看；</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648"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2997" w:type="dxa"/>
            <w:vMerge w:val="continue"/>
            <w:shd w:val="clear" w:color="auto" w:fill="auto"/>
            <w:vAlign w:val="center"/>
          </w:tcPr>
          <w:p>
            <w:pPr>
              <w:jc w:val="left"/>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c)不得包含已知的恶意代码或漏洞，不存在未声明的指令、功能、接口</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★固件安全启动</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支持固件安全启动功能，固件启动过程中只有通过启动校验才能正常启动</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99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★限用物质的限量要求</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符合GB/T26572中规定</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997"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质量认证</w:t>
            </w: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通过键盘防泼溅（中标后提供认证证书复印件或第三方测试报告复印件加盖厂家公章）</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99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2分钟静置测试、噪音认证低于15分贝测试（中标后提供认证证书复印件或第三方测试报告复印件加盖厂家公章）</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99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A壳压力承重测试认证（中标后提供认证证书复印件或第三方测试报告复印件加盖厂家公章）</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99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2.5万次屏幕开合测试认证（中标后提供认证证书复印件或第三方测试报告复印件加盖厂家公章）</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99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2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1600万次键盘敲击测试认证（中标后提供认证证书复印件或第三方测试报告复印件加盖厂家公章）</w:t>
            </w:r>
          </w:p>
        </w:tc>
        <w:tc>
          <w:tcPr>
            <w:tcW w:w="1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1分</w:t>
            </w:r>
          </w:p>
        </w:tc>
      </w:tr>
    </w:tbl>
    <w:p>
      <w:pPr>
        <w:spacing w:before="120" w:beforeLines="50" w:after="120" w:afterLines="50" w:line="360" w:lineRule="auto"/>
        <w:jc w:val="left"/>
        <w:rPr>
          <w:rFonts w:hint="eastAsia"/>
          <w:b/>
          <w:bCs/>
          <w:color w:val="FF0000"/>
          <w:u w:val="single"/>
          <w:lang w:val="en-US" w:eastAsia="zh-CN"/>
        </w:rPr>
      </w:pPr>
      <w:bookmarkStart w:id="3" w:name="OLE_LINK24"/>
    </w:p>
    <w:p>
      <w:pPr>
        <w:spacing w:before="120" w:beforeLines="50" w:after="120" w:afterLines="50" w:line="360" w:lineRule="auto"/>
        <w:jc w:val="left"/>
        <w:rPr>
          <w:rFonts w:hint="eastAsia"/>
          <w:b/>
          <w:bCs/>
          <w:color w:val="FF0000"/>
          <w:u w:val="single"/>
          <w:lang w:val="en-US" w:eastAsia="zh-CN"/>
        </w:rPr>
      </w:pPr>
    </w:p>
    <w:p>
      <w:pPr>
        <w:spacing w:before="120" w:beforeLines="50" w:after="120" w:afterLines="50" w:line="360" w:lineRule="auto"/>
        <w:jc w:val="left"/>
        <w:rPr>
          <w:kern w:val="0"/>
          <w:sz w:val="24"/>
        </w:rPr>
      </w:pPr>
      <w:r>
        <w:rPr>
          <w:rFonts w:hint="eastAsia"/>
          <w:b/>
          <w:bCs/>
          <w:color w:val="FF0000"/>
          <w:u w:val="single"/>
          <w:lang w:val="en-US" w:eastAsia="zh-CN"/>
        </w:rPr>
        <w:t>注：</w:t>
      </w:r>
      <w:bookmarkEnd w:id="3"/>
      <w:r>
        <w:rPr>
          <w:rFonts w:hint="eastAsia"/>
          <w:b/>
          <w:bCs/>
          <w:color w:val="FF0000"/>
          <w:u w:val="single"/>
          <w:lang w:val="en-US" w:eastAsia="zh-CN"/>
        </w:rPr>
        <w:t>1、</w:t>
      </w:r>
      <w:r>
        <w:rPr>
          <w:rFonts w:hint="eastAsia" w:ascii="宋体" w:hAnsi="宋体" w:eastAsia="宋体" w:cs="宋体"/>
          <w:b/>
          <w:bCs/>
          <w:sz w:val="21"/>
          <w:szCs w:val="21"/>
          <w:u w:val="single"/>
          <w:lang w:val="en-US" w:eastAsia="zh-CN"/>
        </w:rPr>
        <w:t>投标人超过预算金额的投标报价将作无效标处理。</w:t>
      </w:r>
    </w:p>
    <w:p>
      <w:pPr>
        <w:numPr>
          <w:ilvl w:val="0"/>
          <w:numId w:val="0"/>
        </w:numPr>
        <w:spacing w:before="120" w:beforeLines="50" w:after="120" w:afterLines="50" w:line="360" w:lineRule="auto"/>
        <w:ind w:firstLine="422" w:firstLineChars="200"/>
        <w:jc w:val="left"/>
        <w:rPr>
          <w:rFonts w:hint="eastAsia" w:ascii="宋体" w:hAnsi="宋体" w:eastAsia="宋体" w:cs="宋体"/>
          <w:b/>
          <w:bCs/>
          <w:kern w:val="0"/>
          <w:sz w:val="21"/>
          <w:szCs w:val="21"/>
          <w:u w:val="single"/>
        </w:rPr>
      </w:pPr>
      <w:r>
        <w:rPr>
          <w:rFonts w:hint="eastAsia" w:ascii="宋体" w:hAnsi="宋体" w:eastAsia="宋体" w:cs="宋体"/>
          <w:b/>
          <w:bCs/>
          <w:kern w:val="0"/>
          <w:sz w:val="21"/>
          <w:szCs w:val="21"/>
          <w:u w:val="single"/>
          <w:lang w:val="en-US" w:eastAsia="zh-CN" w:bidi="ar-SA"/>
        </w:rPr>
        <w:t>▲2、</w:t>
      </w:r>
      <w:r>
        <w:rPr>
          <w:rFonts w:hint="eastAsia" w:ascii="宋体" w:hAnsi="宋体" w:eastAsia="宋体" w:cs="宋体"/>
          <w:b/>
          <w:bCs/>
          <w:kern w:val="0"/>
          <w:sz w:val="21"/>
          <w:szCs w:val="21"/>
          <w:u w:val="single"/>
        </w:rPr>
        <w:t>本次采购采用电子交易方式，电子交易平台为“</w:t>
      </w:r>
      <w:r>
        <w:rPr>
          <w:rFonts w:hint="eastAsia" w:ascii="宋体" w:hAnsi="宋体" w:eastAsia="宋体" w:cs="宋体"/>
          <w:b/>
          <w:bCs/>
          <w:kern w:val="0"/>
          <w:sz w:val="21"/>
          <w:szCs w:val="21"/>
          <w:u w:val="single"/>
          <w:lang w:val="en-US" w:eastAsia="zh-CN"/>
        </w:rPr>
        <w:t>政</w:t>
      </w:r>
      <w:r>
        <w:rPr>
          <w:rFonts w:hint="eastAsia" w:ascii="宋体" w:hAnsi="宋体" w:eastAsia="宋体" w:cs="宋体"/>
          <w:b/>
          <w:bCs/>
          <w:kern w:val="0"/>
          <w:sz w:val="21"/>
          <w:szCs w:val="21"/>
          <w:u w:val="single"/>
        </w:rPr>
        <w:t>采云平台（</w:t>
      </w:r>
      <w:r>
        <w:rPr>
          <w:rFonts w:hint="eastAsia" w:ascii="宋体" w:hAnsi="宋体" w:eastAsia="宋体" w:cs="宋体"/>
          <w:b/>
          <w:bCs/>
          <w:color w:val="0000FF"/>
          <w:kern w:val="0"/>
          <w:sz w:val="21"/>
          <w:szCs w:val="21"/>
          <w:u w:val="single"/>
        </w:rPr>
        <w:t>https://www.zcygov.cn/）</w:t>
      </w:r>
      <w:r>
        <w:rPr>
          <w:rFonts w:hint="eastAsia" w:ascii="宋体" w:hAnsi="宋体" w:eastAsia="宋体" w:cs="宋体"/>
          <w:b/>
          <w:bCs/>
          <w:kern w:val="0"/>
          <w:sz w:val="21"/>
          <w:szCs w:val="21"/>
          <w:u w:val="single"/>
        </w:rPr>
        <w:t>”。</w:t>
      </w:r>
    </w:p>
    <w:p>
      <w:pPr>
        <w:spacing w:before="120" w:beforeLines="50" w:after="120" w:afterLines="50" w:line="360" w:lineRule="auto"/>
        <w:ind w:firstLine="420" w:firstLineChars="200"/>
        <w:jc w:val="left"/>
        <w:rPr>
          <w:rFonts w:hint="eastAsia" w:ascii="宋体" w:hAnsi="宋体" w:eastAsia="宋体" w:cs="宋体"/>
          <w:sz w:val="21"/>
          <w:szCs w:val="21"/>
        </w:rPr>
        <w:sectPr>
          <w:footerReference r:id="rId3" w:type="default"/>
          <w:pgSz w:w="16840" w:h="11907" w:orient="landscape"/>
          <w:pgMar w:top="1531" w:right="1304" w:bottom="1531" w:left="1247" w:header="851" w:footer="992" w:gutter="0"/>
          <w:pgNumType w:fmt="numberInDash" w:start="1"/>
          <w:cols w:space="720" w:num="1"/>
          <w:docGrid w:linePitch="312" w:charSpace="0"/>
        </w:sectPr>
      </w:pPr>
    </w:p>
    <w:p>
      <w:pPr>
        <w:spacing w:line="360" w:lineRule="auto"/>
        <w:rPr>
          <w:rFonts w:hint="eastAsia" w:ascii="宋体" w:hAnsi="宋体"/>
          <w:b/>
          <w:bCs/>
          <w:color w:val="000000"/>
          <w:sz w:val="28"/>
          <w:szCs w:val="28"/>
        </w:rPr>
      </w:pPr>
      <w:r>
        <w:rPr>
          <w:rFonts w:hint="eastAsia" w:ascii="宋体" w:hAnsi="宋体"/>
          <w:b/>
          <w:bCs/>
          <w:color w:val="000000"/>
          <w:sz w:val="28"/>
          <w:szCs w:val="28"/>
          <w:lang w:val="en-US" w:eastAsia="zh-CN"/>
        </w:rPr>
        <w:t>三</w:t>
      </w:r>
      <w:r>
        <w:rPr>
          <w:rFonts w:hint="eastAsia" w:ascii="宋体" w:hAnsi="宋体"/>
          <w:b/>
          <w:bCs/>
          <w:color w:val="000000"/>
          <w:sz w:val="28"/>
          <w:szCs w:val="28"/>
        </w:rPr>
        <w:t>、主要商务要求</w:t>
      </w:r>
    </w:p>
    <w:p>
      <w:pPr>
        <w:pStyle w:val="7"/>
        <w:numPr>
          <w:ilvl w:val="0"/>
          <w:numId w:val="0"/>
        </w:numPr>
        <w:spacing w:line="360" w:lineRule="auto"/>
        <w:ind w:firstLine="482" w:firstLineChars="200"/>
        <w:rPr>
          <w:rFonts w:hint="default" w:ascii="宋体" w:hAnsi="宋体" w:eastAsia="宋体" w:cs="宋体"/>
          <w:sz w:val="24"/>
          <w:lang w:val="en-US" w:eastAsia="zh-CN"/>
        </w:rPr>
      </w:pPr>
      <w:r>
        <w:rPr>
          <w:rFonts w:hint="eastAsia" w:ascii="宋体" w:hAnsi="宋体"/>
          <w:b/>
          <w:bCs/>
          <w:color w:val="000000"/>
          <w:sz w:val="24"/>
          <w:szCs w:val="24"/>
          <w:lang w:val="en-US" w:eastAsia="zh-CN"/>
        </w:rPr>
        <w:t>1</w:t>
      </w:r>
      <w:r>
        <w:rPr>
          <w:rFonts w:hint="eastAsia" w:ascii="宋体" w:hAnsi="宋体"/>
          <w:b/>
          <w:bCs/>
          <w:color w:val="000000"/>
          <w:sz w:val="24"/>
          <w:szCs w:val="24"/>
        </w:rPr>
        <w:t>、付款方式：</w:t>
      </w:r>
      <w:r>
        <w:rPr>
          <w:rFonts w:hint="default" w:ascii="宋体" w:hAnsi="宋体" w:eastAsia="宋体" w:cs="宋体"/>
          <w:sz w:val="24"/>
          <w:lang w:val="en-US" w:eastAsia="zh-CN"/>
        </w:rPr>
        <w:t>全部货物交付完毕并经最终验收合格后，</w:t>
      </w:r>
      <w:r>
        <w:rPr>
          <w:rFonts w:hint="eastAsia" w:ascii="宋体" w:hAnsi="宋体" w:eastAsia="宋体" w:cs="宋体"/>
          <w:color w:val="FF0000"/>
          <w:sz w:val="24"/>
          <w:lang w:val="en-US" w:eastAsia="zh-CN"/>
        </w:rPr>
        <w:t>由</w:t>
      </w:r>
      <w:r>
        <w:rPr>
          <w:rFonts w:hint="default" w:ascii="宋体" w:hAnsi="宋体" w:eastAsia="宋体" w:cs="宋体"/>
          <w:color w:val="FF0000"/>
          <w:sz w:val="24"/>
          <w:lang w:val="en-US" w:eastAsia="zh-CN"/>
        </w:rPr>
        <w:t>乙方</w:t>
      </w:r>
      <w:r>
        <w:rPr>
          <w:rFonts w:hint="eastAsia" w:ascii="宋体" w:hAnsi="宋体" w:eastAsia="宋体" w:cs="宋体"/>
          <w:color w:val="FF0000"/>
          <w:sz w:val="24"/>
          <w:lang w:val="en-US" w:eastAsia="zh-CN"/>
        </w:rPr>
        <w:t>联系</w:t>
      </w:r>
      <w:r>
        <w:rPr>
          <w:rFonts w:hint="default" w:ascii="宋体" w:hAnsi="宋体" w:eastAsia="宋体" w:cs="宋体"/>
          <w:color w:val="FF0000"/>
          <w:sz w:val="24"/>
          <w:lang w:val="en-US" w:eastAsia="zh-CN"/>
        </w:rPr>
        <w:t>甲方</w:t>
      </w:r>
      <w:r>
        <w:rPr>
          <w:rFonts w:hint="eastAsia" w:ascii="宋体" w:hAnsi="宋体" w:eastAsia="宋体" w:cs="宋体"/>
          <w:color w:val="FF0000"/>
          <w:sz w:val="24"/>
          <w:lang w:val="en-US" w:eastAsia="zh-CN"/>
        </w:rPr>
        <w:t>采购中心开票入库（</w:t>
      </w:r>
      <w:r>
        <w:rPr>
          <w:rFonts w:hint="default" w:ascii="宋体" w:hAnsi="宋体" w:eastAsia="宋体" w:cs="宋体"/>
          <w:color w:val="FF0000"/>
          <w:sz w:val="24"/>
          <w:lang w:val="en-US" w:eastAsia="zh-CN"/>
        </w:rPr>
        <w:t>开具</w:t>
      </w:r>
      <w:r>
        <w:rPr>
          <w:rFonts w:hint="eastAsia" w:ascii="宋体" w:hAnsi="宋体" w:eastAsia="宋体" w:cs="宋体"/>
          <w:color w:val="FF0000"/>
          <w:sz w:val="24"/>
          <w:lang w:val="en-US" w:eastAsia="zh-CN"/>
        </w:rPr>
        <w:t>与</w:t>
      </w:r>
      <w:r>
        <w:rPr>
          <w:rFonts w:hint="default" w:ascii="宋体" w:hAnsi="宋体" w:eastAsia="宋体" w:cs="宋体"/>
          <w:color w:val="FF0000"/>
          <w:sz w:val="24"/>
          <w:lang w:val="en-US" w:eastAsia="zh-CN"/>
        </w:rPr>
        <w:t>合同同等金额</w:t>
      </w:r>
      <w:r>
        <w:rPr>
          <w:rFonts w:hint="eastAsia" w:ascii="宋体" w:hAnsi="宋体" w:eastAsia="宋体" w:cs="宋体"/>
          <w:color w:val="FF0000"/>
          <w:sz w:val="24"/>
          <w:lang w:val="en-US" w:eastAsia="zh-CN"/>
        </w:rPr>
        <w:t>的</w:t>
      </w:r>
      <w:r>
        <w:rPr>
          <w:rFonts w:hint="default" w:ascii="宋体" w:hAnsi="宋体" w:eastAsia="宋体" w:cs="宋体"/>
          <w:color w:val="FF0000"/>
          <w:sz w:val="24"/>
          <w:lang w:val="en-US" w:eastAsia="zh-CN"/>
        </w:rPr>
        <w:t>发票</w:t>
      </w:r>
      <w:r>
        <w:rPr>
          <w:rFonts w:hint="eastAsia" w:ascii="宋体" w:hAnsi="宋体" w:eastAsia="宋体" w:cs="宋体"/>
          <w:sz w:val="24"/>
          <w:lang w:val="en-US" w:eastAsia="zh-CN"/>
        </w:rPr>
        <w:t>）</w:t>
      </w:r>
      <w:r>
        <w:rPr>
          <w:rFonts w:hint="default" w:ascii="宋体" w:hAnsi="宋体" w:eastAsia="宋体" w:cs="宋体"/>
          <w:sz w:val="24"/>
          <w:lang w:val="en-US" w:eastAsia="zh-CN"/>
        </w:rPr>
        <w:t>，甲方在收到发票后</w:t>
      </w:r>
      <w:r>
        <w:rPr>
          <w:rFonts w:hint="eastAsia" w:hAnsi="宋体" w:cs="宋体"/>
          <w:sz w:val="24"/>
          <w:lang w:val="en-US" w:eastAsia="zh-CN"/>
        </w:rPr>
        <w:t>3</w:t>
      </w:r>
      <w:r>
        <w:rPr>
          <w:rFonts w:hint="eastAsia" w:ascii="宋体" w:hAnsi="宋体" w:eastAsia="宋体" w:cs="宋体"/>
          <w:sz w:val="24"/>
          <w:lang w:val="en-US" w:eastAsia="zh-CN"/>
        </w:rPr>
        <w:t>个</w:t>
      </w:r>
      <w:r>
        <w:rPr>
          <w:rFonts w:hint="eastAsia" w:hAnsi="宋体" w:cs="宋体"/>
          <w:sz w:val="24"/>
          <w:lang w:val="en-US" w:eastAsia="zh-CN"/>
        </w:rPr>
        <w:t>月</w:t>
      </w:r>
      <w:r>
        <w:rPr>
          <w:rFonts w:hint="default" w:ascii="宋体" w:hAnsi="宋体" w:eastAsia="宋体" w:cs="宋体"/>
          <w:sz w:val="24"/>
          <w:lang w:val="en-US" w:eastAsia="zh-CN"/>
        </w:rPr>
        <w:t>内向乙方支付全部合同价款。</w:t>
      </w:r>
    </w:p>
    <w:p>
      <w:pPr>
        <w:pStyle w:val="7"/>
        <w:numPr>
          <w:ilvl w:val="0"/>
          <w:numId w:val="0"/>
        </w:numPr>
        <w:spacing w:line="360" w:lineRule="auto"/>
        <w:ind w:firstLine="482" w:firstLineChars="200"/>
        <w:rPr>
          <w:rFonts w:hint="eastAsia" w:ascii="宋体" w:hAnsi="宋体"/>
          <w:b w:val="0"/>
          <w:bCs w:val="0"/>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w:t>
      </w:r>
      <w:r>
        <w:rPr>
          <w:rFonts w:hint="eastAsia" w:ascii="宋体" w:hAnsi="宋体" w:eastAsia="宋体" w:cs="宋体"/>
          <w:b/>
          <w:bCs/>
          <w:sz w:val="24"/>
          <w:szCs w:val="24"/>
          <w:lang w:val="en-US" w:eastAsia="zh-CN"/>
        </w:rPr>
        <w:t>交货期：接到采购人发货通知后</w:t>
      </w:r>
      <w:r>
        <w:rPr>
          <w:rFonts w:hint="eastAsia" w:ascii="宋体" w:hAnsi="宋体" w:eastAsia="宋体" w:cs="宋体"/>
          <w:b/>
          <w:bCs/>
          <w:color w:val="FF0000"/>
          <w:sz w:val="24"/>
          <w:szCs w:val="24"/>
          <w:u w:val="single"/>
          <w:lang w:val="en-US" w:eastAsia="zh-CN"/>
        </w:rPr>
        <w:t>5个工作日</w:t>
      </w:r>
      <w:r>
        <w:rPr>
          <w:rFonts w:hint="eastAsia" w:ascii="宋体" w:hAnsi="宋体" w:eastAsia="宋体" w:cs="宋体"/>
          <w:b/>
          <w:bCs/>
          <w:sz w:val="24"/>
          <w:szCs w:val="24"/>
          <w:lang w:val="en-US" w:eastAsia="zh-CN"/>
        </w:rPr>
        <w:t>内到达指定地点。</w:t>
      </w:r>
      <w:r>
        <w:rPr>
          <w:rFonts w:hint="eastAsia" w:ascii="宋体" w:hAnsi="宋体"/>
          <w:b w:val="0"/>
          <w:bCs w:val="0"/>
          <w:color w:val="000000"/>
          <w:sz w:val="24"/>
          <w:szCs w:val="24"/>
        </w:rPr>
        <w:t xml:space="preserve">        </w:t>
      </w:r>
    </w:p>
    <w:p>
      <w:pPr>
        <w:spacing w:line="360" w:lineRule="auto"/>
        <w:ind w:firstLine="482" w:firstLineChars="200"/>
        <w:rPr>
          <w:rFonts w:hint="eastAsia" w:ascii="宋体" w:hAnsi="宋体"/>
          <w:b w:val="0"/>
          <w:bCs w:val="0"/>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、到货地点：</w:t>
      </w:r>
      <w:r>
        <w:rPr>
          <w:rFonts w:hint="eastAsia" w:ascii="宋体" w:hAnsi="宋体"/>
          <w:b w:val="0"/>
          <w:bCs w:val="0"/>
          <w:color w:val="000000"/>
          <w:sz w:val="24"/>
          <w:szCs w:val="24"/>
        </w:rPr>
        <w:t>温州市中医院指定地点。</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、质保期</w:t>
      </w:r>
    </w:p>
    <w:p>
      <w:p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b w:val="0"/>
          <w:bCs w:val="0"/>
          <w:color w:val="000000"/>
          <w:sz w:val="24"/>
          <w:szCs w:val="24"/>
          <w:lang w:val="en-US" w:eastAsia="zh-CN"/>
        </w:rPr>
        <w:t>(1)</w:t>
      </w:r>
      <w:r>
        <w:rPr>
          <w:rFonts w:hint="eastAsia" w:ascii="宋体" w:hAnsi="宋体"/>
          <w:b w:val="0"/>
          <w:bCs w:val="0"/>
          <w:color w:val="000000"/>
          <w:sz w:val="24"/>
          <w:szCs w:val="24"/>
        </w:rPr>
        <w:t>免费质保期</w:t>
      </w:r>
      <w:r>
        <w:rPr>
          <w:rFonts w:hint="eastAsia" w:ascii="宋体" w:hAnsi="宋体"/>
          <w:b w:val="0"/>
          <w:bCs w:val="0"/>
          <w:color w:val="000000"/>
          <w:sz w:val="24"/>
          <w:szCs w:val="24"/>
          <w:lang w:val="en-US" w:eastAsia="zh-CN"/>
        </w:rPr>
        <w:t>≥2</w:t>
      </w:r>
      <w:r>
        <w:rPr>
          <w:rFonts w:hint="eastAsia" w:ascii="宋体" w:hAnsi="宋体"/>
          <w:b w:val="0"/>
          <w:bCs w:val="0"/>
          <w:color w:val="000000"/>
          <w:sz w:val="24"/>
          <w:szCs w:val="24"/>
        </w:rPr>
        <w:t>年，</w:t>
      </w:r>
      <w:r>
        <w:rPr>
          <w:rFonts w:hint="eastAsia"/>
          <w:b/>
          <w:bCs/>
          <w:sz w:val="24"/>
          <w:szCs w:val="24"/>
          <w:u w:val="single"/>
        </w:rPr>
        <w:t>（自交货验收合格之日起计）</w:t>
      </w:r>
      <w:r>
        <w:rPr>
          <w:rFonts w:hint="eastAsia"/>
          <w:b/>
          <w:bCs/>
          <w:sz w:val="24"/>
          <w:szCs w:val="24"/>
          <w:u w:val="single"/>
          <w:lang w:eastAsia="zh-CN"/>
        </w:rPr>
        <w:t>。</w:t>
      </w:r>
      <w:r>
        <w:rPr>
          <w:rFonts w:hint="eastAsia" w:ascii="宋体" w:hAnsi="宋体" w:eastAsia="宋体" w:cs="宋体"/>
          <w:i w:val="0"/>
          <w:iCs w:val="0"/>
          <w:color w:val="000000"/>
          <w:kern w:val="0"/>
          <w:sz w:val="24"/>
          <w:szCs w:val="24"/>
          <w:u w:val="none"/>
          <w:lang w:val="en-US" w:eastAsia="zh-CN" w:bidi="ar"/>
        </w:rPr>
        <w:t>提供生产厂商质保，中标后提供生产厂商质保证明原件。提供二年及以上完全免费的生产厂商售后服务：包括生产厂商800电话支持、所有部件（包括键盘鼠标显示器在内）的生产厂商备件、不晚于第二工作日生产厂商售后服务工程师上门，生产厂商VIP客户服务，生产厂商24×7专线服务，可做定制服务：硬盘分区、定制开机画面，资产标记和报告。所有设备用户名与客户单位名称对应并生产日期晚于招标日期，由工厂直接发货到用户指定地点</w:t>
      </w:r>
    </w:p>
    <w:p>
      <w:p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b w:val="0"/>
          <w:bCs w:val="0"/>
          <w:color w:val="000000"/>
          <w:sz w:val="24"/>
          <w:szCs w:val="24"/>
          <w:lang w:val="en-US" w:eastAsia="zh-CN"/>
        </w:rPr>
        <w:t xml:space="preserve">(2) </w:t>
      </w:r>
      <w:r>
        <w:rPr>
          <w:rFonts w:hint="eastAsia" w:ascii="宋体" w:hAnsi="宋体" w:eastAsia="宋体" w:cs="宋体"/>
          <w:i w:val="0"/>
          <w:iCs w:val="0"/>
          <w:color w:val="000000"/>
          <w:kern w:val="0"/>
          <w:sz w:val="24"/>
          <w:szCs w:val="24"/>
          <w:u w:val="none"/>
          <w:lang w:val="en-US" w:eastAsia="zh-CN" w:bidi="ar"/>
        </w:rPr>
        <w:t>为了保障技术服务的及时性和质量，中标人自营技术服务团队，协调和补充售后服务。</w:t>
      </w:r>
    </w:p>
    <w:p>
      <w:pPr>
        <w:spacing w:line="360" w:lineRule="auto"/>
        <w:ind w:firstLine="480" w:firstLineChars="200"/>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 xml:space="preserve">(3) </w:t>
      </w:r>
      <w:r>
        <w:rPr>
          <w:rFonts w:hint="eastAsia" w:ascii="宋体" w:hAnsi="宋体"/>
          <w:b w:val="0"/>
          <w:bCs w:val="0"/>
          <w:color w:val="000000"/>
          <w:sz w:val="24"/>
          <w:szCs w:val="24"/>
        </w:rPr>
        <w:t>质保期内，由于产品自身原因出现问题，由中标人免费更换，并达到合同约定的质量要求，中标人应该在收到院方更换通知24小时内解决处理。</w:t>
      </w:r>
    </w:p>
    <w:p>
      <w:pPr>
        <w:pStyle w:val="7"/>
        <w:numPr>
          <w:ilvl w:val="0"/>
          <w:numId w:val="0"/>
        </w:numPr>
        <w:spacing w:line="360" w:lineRule="auto"/>
        <w:ind w:leftChars="0" w:firstLine="482" w:firstLineChars="200"/>
        <w:rPr>
          <w:rFonts w:hint="eastAsia" w:ascii="宋体" w:hAnsi="宋体"/>
          <w:b w:val="0"/>
          <w:bCs w:val="0"/>
          <w:color w:val="000000"/>
          <w:sz w:val="24"/>
          <w:szCs w:val="24"/>
        </w:rPr>
      </w:pPr>
      <w:r>
        <w:rPr>
          <w:rFonts w:hint="eastAsia"/>
          <w:b/>
          <w:bCs/>
          <w:sz w:val="24"/>
          <w:szCs w:val="24"/>
          <w:lang w:val="en-US" w:eastAsia="zh-CN"/>
        </w:rPr>
        <w:t>5、质量保证及售后服务</w:t>
      </w:r>
    </w:p>
    <w:p>
      <w:pPr>
        <w:pStyle w:val="7"/>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7"/>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（2）在质保期内因货物本身发生质量问题的，供应商应负责免费更换。对达不到质量要求者，根据实际情况，经双方协商，可按以下办法处理：</w:t>
      </w:r>
    </w:p>
    <w:p>
      <w:pPr>
        <w:pStyle w:val="7"/>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7"/>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7"/>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7"/>
        <w:numPr>
          <w:ilvl w:val="0"/>
          <w:numId w:val="3"/>
        </w:numPr>
        <w:spacing w:line="360" w:lineRule="auto"/>
        <w:ind w:leftChars="200"/>
        <w:rPr>
          <w:rFonts w:hint="eastAsia"/>
          <w:sz w:val="24"/>
          <w:szCs w:val="24"/>
          <w:lang w:val="en-US" w:eastAsia="zh-CN"/>
        </w:rPr>
      </w:pPr>
      <w:r>
        <w:rPr>
          <w:rFonts w:hint="eastAsia"/>
          <w:sz w:val="24"/>
          <w:szCs w:val="24"/>
          <w:lang w:val="en-US" w:eastAsia="zh-CN"/>
        </w:rPr>
        <w:t>在质保期内，乙方应对货物出现的质量及安全问题负责处理解决并承担一切费用。</w:t>
      </w:r>
    </w:p>
    <w:p>
      <w:pPr>
        <w:pStyle w:val="7"/>
        <w:numPr>
          <w:ilvl w:val="0"/>
          <w:numId w:val="0"/>
        </w:numPr>
        <w:spacing w:line="360" w:lineRule="auto"/>
        <w:ind w:leftChars="400"/>
        <w:rPr>
          <w:rFonts w:hint="eastAsia"/>
          <w:sz w:val="24"/>
          <w:szCs w:val="24"/>
          <w:lang w:val="en-US" w:eastAsia="zh-CN"/>
        </w:rPr>
      </w:pPr>
    </w:p>
    <w:p>
      <w:pPr>
        <w:pStyle w:val="7"/>
        <w:numPr>
          <w:ilvl w:val="0"/>
          <w:numId w:val="0"/>
        </w:numPr>
        <w:spacing w:line="360" w:lineRule="auto"/>
        <w:ind w:leftChars="400"/>
        <w:rPr>
          <w:rFonts w:hint="eastAsia"/>
          <w:sz w:val="24"/>
          <w:szCs w:val="24"/>
          <w:lang w:val="en-US" w:eastAsia="zh-CN"/>
        </w:rPr>
      </w:pPr>
    </w:p>
    <w:p>
      <w:pPr>
        <w:spacing w:line="360" w:lineRule="auto"/>
        <w:rPr>
          <w:rFonts w:hint="default"/>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66" w:firstLineChars="200"/>
        <w:rPr>
          <w:rStyle w:val="15"/>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cstheme="minorEastAsia"/>
          <w:b/>
          <w:bCs/>
          <w:spacing w:val="-4"/>
          <w:sz w:val="24"/>
          <w:szCs w:val="24"/>
          <w:lang w:val="en-US" w:eastAsia="zh-CN"/>
        </w:rPr>
        <w:t>7</w:t>
      </w:r>
      <w:r>
        <w:rPr>
          <w:rFonts w:hint="eastAsia" w:asciiTheme="minorEastAsia" w:hAnsiTheme="minorEastAsia" w:eastAsiaTheme="minorEastAsia" w:cstheme="minorEastAsia"/>
          <w:b/>
          <w:bCs/>
          <w:spacing w:val="-4"/>
          <w:sz w:val="24"/>
          <w:szCs w:val="24"/>
          <w:lang w:val="en-US" w:eastAsia="zh-CN"/>
        </w:rPr>
        <w:t>0</w:t>
      </w:r>
      <w:r>
        <w:rPr>
          <w:rFonts w:hint="eastAsia" w:asciiTheme="minorEastAsia" w:hAnsiTheme="minorEastAsia" w:eastAsiaTheme="minorEastAsia" w:cstheme="minorEastAsia"/>
          <w:b/>
          <w:bCs/>
          <w:spacing w:val="-4"/>
          <w:sz w:val="24"/>
          <w:szCs w:val="24"/>
        </w:rPr>
        <w:t>分）</w:t>
      </w:r>
    </w:p>
    <w:tbl>
      <w:tblPr>
        <w:tblStyle w:val="13"/>
        <w:tblW w:w="147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94"/>
        <w:gridCol w:w="5175"/>
        <w:gridCol w:w="1407"/>
        <w:gridCol w:w="6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atLeast"/>
          <w:jc w:val="center"/>
        </w:trPr>
        <w:tc>
          <w:tcPr>
            <w:tcW w:w="1494"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517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评定项目</w:t>
            </w:r>
          </w:p>
        </w:tc>
        <w:tc>
          <w:tcPr>
            <w:tcW w:w="140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696" w:type="dxa"/>
            <w:noWrap w:val="0"/>
            <w:vAlign w:val="center"/>
          </w:tcPr>
          <w:p>
            <w:pPr>
              <w:ind w:left="105" w:leftChars="50" w:right="10" w:rightChars="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15" w:hRule="atLeast"/>
          <w:jc w:val="center"/>
        </w:trPr>
        <w:tc>
          <w:tcPr>
            <w:tcW w:w="149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对应于招标文件设备技术规格及配置的偏离度</w:t>
            </w:r>
          </w:p>
        </w:tc>
        <w:tc>
          <w:tcPr>
            <w:tcW w:w="1407"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6696"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bCs/>
                <w:sz w:val="24"/>
                <w:szCs w:val="24"/>
              </w:rPr>
              <w:t>采购要求响应：针对《</w:t>
            </w:r>
            <w:r>
              <w:rPr>
                <w:rFonts w:hint="eastAsia" w:ascii="宋体" w:hAnsi="宋体" w:eastAsia="宋体" w:cs="宋体"/>
                <w:bCs/>
                <w:sz w:val="24"/>
                <w:szCs w:val="24"/>
                <w:lang w:val="en-US" w:eastAsia="zh-CN"/>
              </w:rPr>
              <w:t>二、</w:t>
            </w:r>
            <w:r>
              <w:rPr>
                <w:rFonts w:hint="eastAsia" w:ascii="宋体" w:hAnsi="宋体" w:eastAsia="宋体" w:cs="宋体"/>
                <w:b/>
                <w:bCs/>
                <w:sz w:val="24"/>
                <w:szCs w:val="24"/>
                <w:lang w:val="en-US" w:eastAsia="zh-CN"/>
              </w:rPr>
              <w:t>项目内容及要求</w:t>
            </w:r>
            <w:r>
              <w:rPr>
                <w:rFonts w:hint="eastAsia" w:ascii="宋体" w:hAnsi="宋体" w:eastAsia="宋体" w:cs="宋体"/>
                <w:b/>
                <w:bCs/>
                <w:sz w:val="24"/>
                <w:szCs w:val="24"/>
              </w:rPr>
              <w:t>：</w:t>
            </w:r>
            <w:r>
              <w:rPr>
                <w:rFonts w:hint="eastAsia" w:ascii="宋体" w:hAnsi="宋体" w:eastAsia="宋体" w:cs="宋体"/>
                <w:bCs/>
                <w:sz w:val="24"/>
                <w:szCs w:val="24"/>
              </w:rPr>
              <w:t>》中“</w:t>
            </w: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要求”的响应情况，对应于招标文件采购要求的符合度，标注★的采购要求为实质性要求，负偏离将视为无效标；未标注★的采购要求负偏离的按标注的评分分值扣分，扣完为止。没有按照招标要求提供佐证材料的视为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40" w:hRule="atLeast"/>
          <w:jc w:val="center"/>
        </w:trPr>
        <w:tc>
          <w:tcPr>
            <w:tcW w:w="14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实施方案</w:t>
            </w:r>
          </w:p>
        </w:tc>
        <w:tc>
          <w:tcPr>
            <w:tcW w:w="1407"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696" w:type="dxa"/>
            <w:noWrap w:val="0"/>
            <w:vAlign w:val="center"/>
          </w:tcPr>
          <w:p>
            <w:pPr>
              <w:ind w:left="105" w:leftChars="50" w:right="10" w:rightChars="5"/>
              <w:rPr>
                <w:rFonts w:hint="default" w:ascii="宋体" w:hAnsi="宋体" w:cs="宋体" w:eastAsiaTheme="minorEastAsia"/>
                <w:sz w:val="24"/>
                <w:szCs w:val="24"/>
                <w:lang w:val="en-US" w:eastAsia="zh-CN"/>
              </w:rPr>
            </w:pPr>
            <w:r>
              <w:rPr>
                <w:rFonts w:hint="eastAsia"/>
                <w:bCs/>
                <w:sz w:val="24"/>
              </w:rPr>
              <w:t>根据投标人提供的项目实施方案进行评价。根据本项目的建设目标与建设内容，提出实施方案，包括实施组织、人员情况、进度安排、项目管理、运行维护计划以及风险预案等，能够充分考虑项目不同阶段的需求和特点，整体实施策略科学、合理、可行并具有弹性</w:t>
            </w:r>
            <w:r>
              <w:rPr>
                <w:rFonts w:hint="eastAsia"/>
                <w:bCs/>
                <w:sz w:val="24"/>
                <w:lang w:eastAsia="zh-CN"/>
              </w:rPr>
              <w:t>（</w:t>
            </w:r>
            <w:r>
              <w:rPr>
                <w:rFonts w:hint="eastAsia"/>
                <w:bCs/>
                <w:sz w:val="24"/>
                <w:lang w:val="en-US" w:eastAsia="zh-CN"/>
              </w:rPr>
              <w:t>0-11分）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4" w:hRule="atLeast"/>
          <w:jc w:val="center"/>
        </w:trPr>
        <w:tc>
          <w:tcPr>
            <w:tcW w:w="1494"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保修服务</w:t>
            </w:r>
          </w:p>
        </w:tc>
        <w:tc>
          <w:tcPr>
            <w:tcW w:w="1407"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696"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sz w:val="24"/>
                <w:szCs w:val="24"/>
                <w:lang w:val="en-US" w:eastAsia="zh-CN"/>
              </w:rPr>
              <w:t>产品质保</w:t>
            </w:r>
            <w:r>
              <w:rPr>
                <w:rFonts w:hint="eastAsia" w:ascii="宋体" w:hAnsi="宋体" w:eastAsia="宋体" w:cs="宋体"/>
                <w:sz w:val="24"/>
                <w:szCs w:val="24"/>
              </w:rPr>
              <w:t>期超过</w:t>
            </w:r>
            <w:r>
              <w:rPr>
                <w:rFonts w:hint="eastAsia" w:ascii="宋体" w:hAnsi="宋体" w:eastAsia="宋体" w:cs="宋体"/>
                <w:sz w:val="24"/>
                <w:szCs w:val="24"/>
                <w:lang w:val="en-US" w:eastAsia="zh-CN"/>
              </w:rPr>
              <w:t>遴选</w:t>
            </w:r>
            <w:r>
              <w:rPr>
                <w:rFonts w:hint="eastAsia" w:ascii="宋体" w:hAnsi="宋体" w:eastAsia="宋体" w:cs="宋体"/>
                <w:sz w:val="24"/>
                <w:szCs w:val="24"/>
              </w:rPr>
              <w:t>文件要求的，每增加1年加1分</w:t>
            </w:r>
            <w:r>
              <w:rPr>
                <w:rFonts w:hint="eastAsia" w:ascii="宋体" w:hAnsi="宋体" w:eastAsia="宋体" w:cs="宋体"/>
                <w:sz w:val="24"/>
                <w:szCs w:val="24"/>
                <w:lang w:val="en-US" w:eastAsia="zh-CN"/>
              </w:rPr>
              <w:t>，</w:t>
            </w:r>
            <w:r>
              <w:rPr>
                <w:rFonts w:hint="eastAsia" w:ascii="宋体" w:hAnsi="宋体" w:eastAsia="宋体" w:cs="宋体"/>
                <w:sz w:val="24"/>
                <w:szCs w:val="24"/>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6" w:hRule="atLeast"/>
          <w:jc w:val="center"/>
        </w:trPr>
        <w:tc>
          <w:tcPr>
            <w:tcW w:w="149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投标产品总体质量性能</w:t>
            </w:r>
          </w:p>
        </w:tc>
        <w:tc>
          <w:tcPr>
            <w:tcW w:w="1407"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696" w:type="dxa"/>
            <w:noWrap w:val="0"/>
            <w:vAlign w:val="center"/>
          </w:tcPr>
          <w:p>
            <w:pPr>
              <w:ind w:left="105" w:leftChars="50" w:right="10" w:rightChars="5"/>
              <w:rPr>
                <w:rFonts w:hint="eastAsia" w:ascii="宋体" w:hAnsi="宋体" w:eastAsia="宋体" w:cs="宋体"/>
                <w:sz w:val="24"/>
                <w:szCs w:val="24"/>
                <w:lang w:eastAsia="zh-CN"/>
              </w:rPr>
            </w:pPr>
            <w:r>
              <w:rPr>
                <w:rFonts w:hint="eastAsia" w:ascii="宋体" w:hAnsi="宋体" w:eastAsia="宋体" w:cs="宋体"/>
                <w:sz w:val="24"/>
                <w:szCs w:val="24"/>
              </w:rPr>
              <w:t>投标产品的使用情况、稳定性、故障率等总体质量性能综合评价。</w:t>
            </w:r>
          </w:p>
          <w:p>
            <w:pPr>
              <w:ind w:left="105" w:leftChars="50" w:right="10" w:rightChars="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A档：8-11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B档：4-7分；C档：0-3分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9" w:hRule="atLeast"/>
          <w:jc w:val="center"/>
        </w:trPr>
        <w:tc>
          <w:tcPr>
            <w:tcW w:w="149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市场占有率</w:t>
            </w:r>
          </w:p>
        </w:tc>
        <w:tc>
          <w:tcPr>
            <w:tcW w:w="1407"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96" w:type="dxa"/>
            <w:noWrap w:val="0"/>
            <w:vAlign w:val="center"/>
          </w:tcPr>
          <w:p>
            <w:pPr>
              <w:ind w:left="105" w:leftChars="50" w:right="10" w:rightChars="5"/>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eastAsia="zh-CN"/>
              </w:rPr>
              <w:t>温州市或浙江省内</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年1月1日起至今与最终用户签订的</w:t>
            </w:r>
            <w:r>
              <w:rPr>
                <w:rFonts w:hint="eastAsia" w:ascii="宋体" w:hAnsi="宋体" w:cs="宋体"/>
                <w:sz w:val="24"/>
                <w:szCs w:val="24"/>
                <w:lang w:val="en-US" w:eastAsia="zh-CN"/>
              </w:rPr>
              <w:t>同类项目</w:t>
            </w:r>
            <w:r>
              <w:rPr>
                <w:rFonts w:hint="eastAsia" w:ascii="宋体" w:hAnsi="宋体" w:eastAsia="宋体" w:cs="宋体"/>
                <w:sz w:val="24"/>
                <w:szCs w:val="24"/>
              </w:rPr>
              <w:t>合同复印件，每份有效合同得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w:t>
            </w:r>
            <w:r>
              <w:rPr>
                <w:rFonts w:hint="eastAsia" w:ascii="宋体" w:hAnsi="宋体" w:cs="宋体"/>
                <w:sz w:val="24"/>
                <w:szCs w:val="24"/>
                <w:lang w:val="en-US" w:eastAsia="zh-CN"/>
              </w:rPr>
              <w:t>3</w:t>
            </w:r>
            <w:r>
              <w:rPr>
                <w:rFonts w:hint="eastAsia" w:ascii="宋体" w:hAnsi="宋体" w:eastAsia="宋体" w:cs="宋体"/>
                <w:sz w:val="24"/>
                <w:szCs w:val="24"/>
              </w:rPr>
              <w:t>分。（与同一采购人签订的多份合同或协议视为一个业绩）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16" w:hRule="atLeast"/>
          <w:jc w:val="center"/>
        </w:trPr>
        <w:tc>
          <w:tcPr>
            <w:tcW w:w="1494"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17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制造商或代理商的售后服务和维修能力</w:t>
            </w:r>
          </w:p>
        </w:tc>
        <w:tc>
          <w:tcPr>
            <w:tcW w:w="1407"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696" w:type="dxa"/>
            <w:noWrap w:val="0"/>
            <w:vAlign w:val="center"/>
          </w:tcPr>
          <w:p>
            <w:pPr>
              <w:ind w:left="105" w:leftChars="50" w:right="10" w:rightChars="5"/>
              <w:rPr>
                <w:rFonts w:hint="eastAsia" w:ascii="宋体" w:hAnsi="宋体" w:eastAsia="宋体" w:cs="宋体"/>
                <w:sz w:val="24"/>
                <w:szCs w:val="24"/>
                <w:lang w:eastAsia="zh-CN"/>
              </w:rPr>
            </w:pPr>
            <w:r>
              <w:rPr>
                <w:rFonts w:hint="eastAsia" w:ascii="宋体" w:hAnsi="宋体"/>
                <w:sz w:val="24"/>
                <w:szCs w:val="24"/>
              </w:rPr>
              <w:t>对本项目提供的售后服务方案进行详细描述，至少包含售后服务网点情况、售后服务承诺、响应时间及响应程度、保障措施</w:t>
            </w:r>
            <w:r>
              <w:rPr>
                <w:rFonts w:hint="eastAsia" w:ascii="宋体" w:hAnsi="宋体"/>
                <w:sz w:val="24"/>
                <w:szCs w:val="24"/>
                <w:lang w:eastAsia="zh-CN"/>
              </w:rPr>
              <w:t>、</w:t>
            </w:r>
            <w:r>
              <w:rPr>
                <w:rFonts w:hint="eastAsia" w:ascii="宋体" w:hAnsi="宋体"/>
                <w:sz w:val="24"/>
                <w:szCs w:val="24"/>
                <w:lang w:val="en-US" w:eastAsia="zh-CN"/>
              </w:rPr>
              <w:t>维修能力</w:t>
            </w:r>
            <w:r>
              <w:rPr>
                <w:rFonts w:hint="eastAsia" w:ascii="宋体" w:hAnsi="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7" w:hRule="atLeast"/>
          <w:jc w:val="center"/>
        </w:trPr>
        <w:tc>
          <w:tcPr>
            <w:tcW w:w="1494"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175" w:type="dxa"/>
            <w:noWrap w:val="0"/>
            <w:vAlign w:val="center"/>
          </w:tcPr>
          <w:p>
            <w:pPr>
              <w:rPr>
                <w:rFonts w:hint="eastAsia" w:ascii="宋体" w:hAnsi="宋体" w:eastAsia="宋体" w:cs="宋体"/>
                <w:sz w:val="24"/>
                <w:szCs w:val="24"/>
              </w:rPr>
            </w:pPr>
            <w:r>
              <w:rPr>
                <w:sz w:val="24"/>
              </w:rPr>
              <w:t>环境标志产品</w:t>
            </w:r>
          </w:p>
        </w:tc>
        <w:tc>
          <w:tcPr>
            <w:tcW w:w="1407"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6696" w:type="dxa"/>
            <w:noWrap w:val="0"/>
            <w:vAlign w:val="center"/>
          </w:tcPr>
          <w:p>
            <w:pPr>
              <w:ind w:left="105" w:leftChars="50" w:right="10" w:rightChars="5"/>
              <w:rPr>
                <w:rFonts w:hint="eastAsia" w:ascii="宋体" w:hAnsi="宋体"/>
                <w:sz w:val="24"/>
                <w:szCs w:val="24"/>
              </w:rPr>
            </w:pPr>
            <w:r>
              <w:rPr>
                <w:bCs/>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全部列入并提供有效证书的得</w:t>
            </w:r>
            <w:r>
              <w:rPr>
                <w:rFonts w:hint="eastAsia"/>
                <w:bCs/>
                <w:sz w:val="24"/>
                <w:lang w:val="en-US" w:eastAsia="zh-CN"/>
              </w:rPr>
              <w:t>2</w:t>
            </w:r>
            <w:r>
              <w:rPr>
                <w:bCs/>
                <w:sz w:val="24"/>
              </w:rPr>
              <w:t>分，部分列入并提供有效证书的得</w:t>
            </w:r>
            <w:r>
              <w:rPr>
                <w:rFonts w:hint="eastAsia"/>
                <w:bCs/>
                <w:sz w:val="24"/>
                <w:lang w:val="en-US" w:eastAsia="zh-CN"/>
              </w:rPr>
              <w:t>1</w:t>
            </w:r>
            <w:r>
              <w:rPr>
                <w:bCs/>
                <w:sz w:val="24"/>
              </w:rPr>
              <w:t>分，全部未列入或未能提供有效证书的得0分。</w:t>
            </w:r>
          </w:p>
        </w:tc>
      </w:tr>
    </w:tbl>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cstheme="minorEastAsia"/>
          <w:b/>
          <w:bCs/>
          <w:spacing w:val="-4"/>
          <w:sz w:val="24"/>
          <w:szCs w:val="24"/>
          <w:lang w:val="en-US" w:eastAsia="zh-CN"/>
        </w:rPr>
        <w:t>3</w:t>
      </w:r>
      <w:r>
        <w:rPr>
          <w:rFonts w:hint="eastAsia" w:asciiTheme="minorEastAsia" w:hAnsiTheme="minorEastAsia" w:eastAsiaTheme="minorEastAsia" w:cstheme="minorEastAsia"/>
          <w:b/>
          <w:bCs/>
          <w:spacing w:val="-4"/>
          <w:sz w:val="24"/>
          <w:szCs w:val="24"/>
          <w:lang w:val="en-US" w:eastAsia="zh-CN"/>
        </w:rPr>
        <w:t>0</w:t>
      </w:r>
      <w:r>
        <w:rPr>
          <w:rFonts w:hint="eastAsia" w:asciiTheme="minorEastAsia" w:hAnsiTheme="minorEastAsia" w:eastAsiaTheme="minorEastAsia" w:cstheme="minorEastAsia"/>
          <w:b/>
          <w:bCs/>
          <w:spacing w:val="-4"/>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价格分采用低价优先法计算，即满足招标文件要求且投标报价最低的投标报价为评标基准价，其得分为满分</w:t>
      </w:r>
      <w:r>
        <w:rPr>
          <w:rFonts w:hint="eastAsia" w:ascii="宋体" w:hAnsi="宋体" w:eastAsia="宋体" w:cs="宋体"/>
          <w:sz w:val="24"/>
          <w:szCs w:val="24"/>
          <w:lang w:val="en-US" w:eastAsia="zh-CN"/>
        </w:rPr>
        <w:t>30</w:t>
      </w:r>
      <w:r>
        <w:rPr>
          <w:rFonts w:hint="eastAsia" w:ascii="宋体" w:hAnsi="宋体" w:eastAsia="宋体" w:cs="宋体"/>
          <w:sz w:val="24"/>
          <w:szCs w:val="24"/>
        </w:rPr>
        <w:t>分。其他投标人的价格分按照下列公式计算：</w:t>
      </w:r>
    </w:p>
    <w:p>
      <w:pPr>
        <w:spacing w:line="360" w:lineRule="auto"/>
        <w:ind w:firstLine="480" w:firstLineChars="200"/>
        <w:rPr>
          <w:rFonts w:hint="eastAsia" w:ascii="新宋体" w:hAnsi="新宋体" w:eastAsia="新宋体" w:cs="新宋体"/>
          <w:b/>
          <w:bCs/>
          <w:color w:val="auto"/>
          <w:kern w:val="2"/>
          <w:sz w:val="28"/>
          <w:szCs w:val="28"/>
          <w:highlight w:val="none"/>
          <w:lang w:val="en-US" w:eastAsia="zh-CN" w:bidi="ar-SA"/>
        </w:rPr>
      </w:pPr>
      <w:r>
        <w:rPr>
          <w:rFonts w:hint="eastAsia" w:ascii="宋体" w:hAnsi="宋体" w:eastAsia="宋体" w:cs="宋体"/>
          <w:sz w:val="24"/>
          <w:szCs w:val="24"/>
        </w:rPr>
        <w:t>价格分=（评标基准价/投标报价）×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%×100</w:t>
      </w:r>
    </w:p>
    <w:p>
      <w:pPr>
        <w:pStyle w:val="3"/>
        <w:jc w:val="center"/>
        <w:rPr>
          <w:rFonts w:hint="eastAsia" w:ascii="新宋体" w:hAnsi="新宋体" w:eastAsia="新宋体" w:cs="新宋体"/>
          <w:b w:val="0"/>
          <w:bCs/>
          <w:color w:val="auto"/>
          <w:sz w:val="22"/>
          <w:highlight w:val="none"/>
        </w:rPr>
      </w:pPr>
    </w:p>
    <w:p>
      <w:pPr>
        <w:pStyle w:val="3"/>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（1）报价一览表</w:t>
      </w:r>
    </w:p>
    <w:p>
      <w:pPr>
        <w:autoSpaceDE w:val="0"/>
        <w:autoSpaceDN w:val="0"/>
        <w:spacing w:line="360" w:lineRule="auto"/>
        <w:ind w:right="893" w:firstLine="240" w:firstLineChars="100"/>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4"/>
          <w:szCs w:val="24"/>
          <w:highlight w:val="none"/>
        </w:rPr>
        <w:t>项目名称：</w:t>
      </w:r>
      <w:r>
        <w:rPr>
          <w:rFonts w:hint="eastAsia" w:ascii="宋体" w:hAnsi="宋体" w:eastAsia="宋体" w:cs="宋体"/>
          <w:b w:val="0"/>
          <w:bCs/>
          <w:color w:val="auto"/>
          <w:sz w:val="24"/>
          <w:szCs w:val="24"/>
          <w:highlight w:val="none"/>
          <w:lang w:val="en-US" w:eastAsia="zh-CN"/>
        </w:rPr>
        <w:t>温州市中医院</w:t>
      </w:r>
      <w:r>
        <w:rPr>
          <w:rFonts w:hint="eastAsia" w:ascii="宋体" w:hAnsi="宋体" w:cs="宋体"/>
          <w:b w:val="0"/>
          <w:bCs w:val="0"/>
          <w:sz w:val="24"/>
          <w:u w:val="none"/>
          <w:lang w:val="en-US" w:eastAsia="zh-CN"/>
        </w:rPr>
        <w:t>笔记本电脑</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2025"/>
        <w:gridCol w:w="4140"/>
        <w:gridCol w:w="39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6828" w:type="dxa"/>
            <w:gridSpan w:val="2"/>
            <w:noWrap w:val="0"/>
            <w:vAlign w:val="center"/>
          </w:tcPr>
          <w:p>
            <w:pPr>
              <w:pStyle w:val="8"/>
              <w:jc w:val="center"/>
              <w:rPr>
                <w:rFonts w:hint="eastAsia" w:hAnsi="宋体"/>
                <w:sz w:val="24"/>
                <w:szCs w:val="24"/>
              </w:rPr>
            </w:pPr>
            <w:r>
              <w:rPr>
                <w:rFonts w:hint="eastAsia" w:hAnsi="宋体"/>
                <w:bCs/>
                <w:sz w:val="24"/>
                <w:szCs w:val="24"/>
              </w:rPr>
              <w:t>项目名称</w:t>
            </w:r>
          </w:p>
        </w:tc>
        <w:tc>
          <w:tcPr>
            <w:tcW w:w="4140" w:type="dxa"/>
            <w:noWrap w:val="0"/>
            <w:vAlign w:val="center"/>
          </w:tcPr>
          <w:p>
            <w:pPr>
              <w:pStyle w:val="8"/>
              <w:jc w:val="center"/>
              <w:rPr>
                <w:rFonts w:hint="eastAsia" w:hAnsi="宋体" w:eastAsia="宋体"/>
                <w:sz w:val="24"/>
                <w:szCs w:val="24"/>
                <w:lang w:eastAsia="zh-CN"/>
              </w:rPr>
            </w:pPr>
            <w:r>
              <w:rPr>
                <w:rFonts w:hint="eastAsia" w:hAnsi="宋体"/>
                <w:bCs/>
                <w:sz w:val="24"/>
                <w:szCs w:val="24"/>
                <w:lang w:val="en-US" w:eastAsia="zh-CN"/>
              </w:rPr>
              <w:t>数量</w:t>
            </w:r>
          </w:p>
        </w:tc>
        <w:tc>
          <w:tcPr>
            <w:tcW w:w="3948" w:type="dxa"/>
            <w:noWrap w:val="0"/>
            <w:vAlign w:val="center"/>
          </w:tcPr>
          <w:p>
            <w:pPr>
              <w:pStyle w:val="8"/>
              <w:spacing w:line="460" w:lineRule="atLeast"/>
              <w:jc w:val="center"/>
              <w:rPr>
                <w:rFonts w:hint="eastAsia" w:hAnsi="宋体" w:eastAsia="宋体"/>
                <w:sz w:val="24"/>
                <w:szCs w:val="24"/>
                <w:lang w:eastAsia="zh-CN"/>
              </w:rPr>
            </w:pPr>
            <w:r>
              <w:rPr>
                <w:rFonts w:hint="eastAsia" w:hAnsi="宋体"/>
                <w:sz w:val="24"/>
                <w:szCs w:val="24"/>
                <w:lang w:val="en-US" w:eastAsia="zh-CN"/>
              </w:rPr>
              <w:t>质保期（≥2年）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6828" w:type="dxa"/>
            <w:gridSpan w:val="2"/>
            <w:noWrap w:val="0"/>
            <w:vAlign w:val="center"/>
          </w:tcPr>
          <w:p>
            <w:pPr>
              <w:jc w:val="center"/>
              <w:rPr>
                <w:rFonts w:hint="eastAsia" w:eastAsia="宋体"/>
                <w:sz w:val="24"/>
                <w:szCs w:val="24"/>
                <w:lang w:eastAsia="zh-CN"/>
              </w:rPr>
            </w:pPr>
            <w:r>
              <w:rPr>
                <w:rFonts w:hint="eastAsia" w:ascii="宋体" w:hAnsi="宋体" w:eastAsia="宋体" w:cs="宋体"/>
                <w:b w:val="0"/>
                <w:bCs/>
                <w:color w:val="auto"/>
                <w:sz w:val="24"/>
                <w:szCs w:val="24"/>
                <w:highlight w:val="none"/>
                <w:lang w:val="en-US" w:eastAsia="zh-CN"/>
              </w:rPr>
              <w:t>温州市中医笔记本</w:t>
            </w:r>
            <w:r>
              <w:rPr>
                <w:rFonts w:hint="eastAsia" w:ascii="宋体" w:hAnsi="宋体" w:cs="宋体"/>
                <w:b w:val="0"/>
                <w:bCs w:val="0"/>
                <w:sz w:val="24"/>
                <w:u w:val="none"/>
                <w:lang w:val="en-US" w:eastAsia="zh-CN"/>
              </w:rPr>
              <w:t>电脑</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p>
        </w:tc>
        <w:tc>
          <w:tcPr>
            <w:tcW w:w="4140" w:type="dxa"/>
            <w:noWrap w:val="0"/>
            <w:vAlign w:val="center"/>
          </w:tcPr>
          <w:p>
            <w:pPr>
              <w:jc w:val="center"/>
              <w:rPr>
                <w:rFonts w:hint="default" w:eastAsia="宋体"/>
                <w:sz w:val="24"/>
                <w:szCs w:val="24"/>
                <w:lang w:val="en-US" w:eastAsia="zh-CN"/>
              </w:rPr>
            </w:pPr>
            <w:r>
              <w:rPr>
                <w:rFonts w:hint="eastAsia"/>
                <w:sz w:val="24"/>
                <w:szCs w:val="24"/>
                <w:lang w:val="en-US" w:eastAsia="zh-CN"/>
              </w:rPr>
              <w:t>11台</w:t>
            </w:r>
          </w:p>
        </w:tc>
        <w:tc>
          <w:tcPr>
            <w:tcW w:w="3948" w:type="dxa"/>
            <w:noWrap w:val="0"/>
            <w:vAlign w:val="center"/>
          </w:tcPr>
          <w:p>
            <w:pPr>
              <w:pStyle w:val="8"/>
              <w:spacing w:line="460" w:lineRule="atLeast"/>
              <w:ind w:firstLine="469"/>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4803" w:type="dxa"/>
            <w:vMerge w:val="restart"/>
            <w:noWrap w:val="0"/>
            <w:vAlign w:val="center"/>
          </w:tcPr>
          <w:p>
            <w:pPr>
              <w:jc w:val="center"/>
              <w:rPr>
                <w:rFonts w:hint="eastAsia" w:ascii="宋体" w:hAnsi="宋体"/>
                <w:sz w:val="24"/>
                <w:szCs w:val="24"/>
              </w:rPr>
            </w:pPr>
            <w:r>
              <w:rPr>
                <w:rFonts w:hint="eastAsia" w:ascii="宋体" w:hAnsi="宋体"/>
                <w:sz w:val="24"/>
                <w:szCs w:val="24"/>
              </w:rPr>
              <w:t>投标报价</w:t>
            </w:r>
          </w:p>
        </w:tc>
        <w:tc>
          <w:tcPr>
            <w:tcW w:w="10113" w:type="dxa"/>
            <w:gridSpan w:val="3"/>
            <w:noWrap w:val="0"/>
            <w:vAlign w:val="center"/>
          </w:tcPr>
          <w:p>
            <w:pPr>
              <w:pStyle w:val="8"/>
              <w:spacing w:line="460" w:lineRule="atLeast"/>
              <w:rPr>
                <w:rFonts w:hint="eastAsia" w:hAnsi="宋体"/>
                <w:sz w:val="24"/>
                <w:szCs w:val="24"/>
              </w:rPr>
            </w:pPr>
            <w:r>
              <w:rPr>
                <w:rFonts w:hint="eastAsia" w:hAnsi="宋体"/>
                <w:sz w:val="24"/>
                <w:szCs w:val="24"/>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803" w:type="dxa"/>
            <w:vMerge w:val="continue"/>
            <w:noWrap w:val="0"/>
            <w:vAlign w:val="center"/>
          </w:tcPr>
          <w:p>
            <w:pPr>
              <w:pStyle w:val="8"/>
              <w:spacing w:line="460" w:lineRule="atLeast"/>
              <w:ind w:firstLine="469"/>
              <w:rPr>
                <w:rFonts w:hint="eastAsia" w:hAnsi="宋体"/>
                <w:sz w:val="24"/>
                <w:szCs w:val="24"/>
              </w:rPr>
            </w:pPr>
          </w:p>
        </w:tc>
        <w:tc>
          <w:tcPr>
            <w:tcW w:w="10113" w:type="dxa"/>
            <w:gridSpan w:val="3"/>
            <w:noWrap w:val="0"/>
            <w:vAlign w:val="center"/>
          </w:tcPr>
          <w:p>
            <w:pPr>
              <w:pStyle w:val="8"/>
              <w:spacing w:line="460" w:lineRule="atLeast"/>
              <w:rPr>
                <w:rFonts w:hint="eastAsia" w:hAnsi="宋体"/>
                <w:sz w:val="24"/>
                <w:szCs w:val="24"/>
              </w:rPr>
            </w:pPr>
            <w:r>
              <w:rPr>
                <w:rFonts w:hint="eastAsia" w:hAnsi="宋体"/>
                <w:sz w:val="24"/>
                <w:szCs w:val="24"/>
              </w:rPr>
              <w:t>（小写）￥：</w:t>
            </w:r>
          </w:p>
        </w:tc>
      </w:tr>
    </w:tbl>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bCs/>
          <w:sz w:val="22"/>
          <w:szCs w:val="22"/>
        </w:rPr>
      </w:pPr>
      <w:r>
        <w:rPr>
          <w:rFonts w:hint="eastAsia" w:ascii="宋体" w:hAnsi="宋体"/>
          <w:b/>
          <w:bCs/>
          <w:sz w:val="22"/>
          <w:szCs w:val="22"/>
        </w:rPr>
        <w:t>1、此表总计价应与</w:t>
      </w:r>
      <w:r>
        <w:rPr>
          <w:rFonts w:hint="eastAsia" w:ascii="宋体" w:hAnsi="宋体"/>
          <w:b/>
          <w:bCs/>
          <w:sz w:val="22"/>
          <w:szCs w:val="22"/>
          <w:lang w:val="en-US" w:eastAsia="zh-CN"/>
        </w:rPr>
        <w:t>下</w:t>
      </w:r>
      <w:r>
        <w:rPr>
          <w:rFonts w:hint="eastAsia" w:ascii="宋体" w:hAnsi="宋体"/>
          <w:b/>
          <w:bCs/>
          <w:sz w:val="22"/>
          <w:szCs w:val="22"/>
        </w:rPr>
        <w:t>方“（</w:t>
      </w:r>
      <w:r>
        <w:rPr>
          <w:rFonts w:hint="eastAsia" w:ascii="宋体" w:hAnsi="宋体"/>
          <w:b/>
          <w:bCs/>
          <w:sz w:val="22"/>
          <w:szCs w:val="22"/>
          <w:lang w:val="en-US" w:eastAsia="zh-CN"/>
        </w:rPr>
        <w:t>二</w:t>
      </w:r>
      <w:r>
        <w:rPr>
          <w:rFonts w:hint="eastAsia" w:ascii="宋体" w:hAnsi="宋体"/>
          <w:b/>
          <w:bCs/>
          <w:sz w:val="22"/>
          <w:szCs w:val="22"/>
        </w:rPr>
        <w:t>）分项报价表”中报价相一致。</w:t>
      </w:r>
    </w:p>
    <w:p>
      <w:pPr>
        <w:spacing w:line="380" w:lineRule="exact"/>
        <w:rPr>
          <w:rFonts w:hint="eastAsia" w:ascii="宋体" w:hAnsi="宋体"/>
          <w:b/>
          <w:bCs/>
          <w:sz w:val="22"/>
          <w:szCs w:val="22"/>
        </w:rPr>
      </w:pPr>
      <w:r>
        <w:rPr>
          <w:rFonts w:hint="eastAsia" w:ascii="宋体" w:hAnsi="宋体"/>
          <w:b/>
          <w:bCs/>
          <w:sz w:val="22"/>
          <w:szCs w:val="22"/>
        </w:rPr>
        <w:t>2、不提供</w:t>
      </w:r>
      <w:r>
        <w:rPr>
          <w:rFonts w:hint="eastAsia" w:ascii="宋体" w:hAnsi="宋体"/>
          <w:b/>
          <w:bCs/>
          <w:sz w:val="22"/>
          <w:szCs w:val="22"/>
          <w:lang w:val="en-US" w:eastAsia="zh-CN"/>
        </w:rPr>
        <w:t>次表格</w:t>
      </w:r>
      <w:r>
        <w:rPr>
          <w:rFonts w:hint="eastAsia" w:ascii="宋体" w:hAnsi="宋体"/>
          <w:b/>
          <w:bCs/>
          <w:sz w:val="22"/>
          <w:szCs w:val="22"/>
        </w:rPr>
        <w:t>将视为没有实质性响应招标文件。</w:t>
      </w:r>
    </w:p>
    <w:p>
      <w:pPr>
        <w:spacing w:line="380" w:lineRule="exact"/>
        <w:rPr>
          <w:rFonts w:hint="eastAsia" w:ascii="宋体" w:hAnsi="宋体"/>
          <w:sz w:val="22"/>
          <w:szCs w:val="22"/>
        </w:rPr>
      </w:pPr>
      <w:r>
        <w:rPr>
          <w:rFonts w:hint="eastAsia" w:ascii="宋体" w:hAnsi="宋体"/>
          <w:b/>
          <w:bCs/>
          <w:sz w:val="22"/>
          <w:szCs w:val="22"/>
        </w:rPr>
        <w:t>3、以上全部报价包含货物到达甲方并能正常使用所需的一切费用，包括但不限于包装费、运输费、装卸费、保险费、安装费以及保修费、税费等。</w:t>
      </w:r>
    </w:p>
    <w:p>
      <w:pPr>
        <w:spacing w:line="360" w:lineRule="auto"/>
        <w:rPr>
          <w:rFonts w:hint="eastAsia" w:ascii="宋体" w:hAnsi="宋体"/>
          <w:sz w:val="22"/>
          <w:szCs w:val="22"/>
        </w:rPr>
      </w:pPr>
    </w:p>
    <w:p>
      <w:pPr>
        <w:spacing w:line="360" w:lineRule="auto"/>
        <w:rPr>
          <w:rFonts w:hint="eastAsia" w:ascii="宋体" w:hAnsi="宋体"/>
          <w:sz w:val="22"/>
          <w:szCs w:val="22"/>
        </w:rPr>
      </w:pPr>
      <w:r>
        <w:rPr>
          <w:rFonts w:hint="eastAsia" w:ascii="宋体" w:hAnsi="宋体"/>
          <w:sz w:val="22"/>
          <w:szCs w:val="22"/>
        </w:rPr>
        <w:t>供应商全称（盖章）：</w:t>
      </w:r>
    </w:p>
    <w:p>
      <w:pPr>
        <w:pStyle w:val="12"/>
        <w:ind w:left="0" w:leftChars="0" w:firstLine="0" w:firstLineChars="0"/>
        <w:rPr>
          <w:rFonts w:hint="eastAsia"/>
          <w:b w:val="0"/>
          <w:bCs w:val="0"/>
        </w:rPr>
      </w:pPr>
      <w:r>
        <w:rPr>
          <w:rFonts w:hint="eastAsia" w:ascii="宋体" w:hAnsi="宋体"/>
          <w:b w:val="0"/>
          <w:bCs w:val="0"/>
          <w:sz w:val="22"/>
          <w:szCs w:val="22"/>
        </w:rPr>
        <w:t>日 期</w:t>
      </w:r>
      <w:r>
        <w:rPr>
          <w:rFonts w:hint="eastAsia" w:ascii="宋体" w:hAnsi="宋体"/>
          <w:b w:val="0"/>
          <w:bCs w:val="0"/>
          <w:sz w:val="22"/>
          <w:szCs w:val="22"/>
          <w:lang w:eastAsia="zh-CN"/>
        </w:rPr>
        <w:t>：</w:t>
      </w:r>
      <w:r>
        <w:rPr>
          <w:rFonts w:hint="eastAsia" w:ascii="宋体" w:hAnsi="宋体"/>
          <w:b w:val="0"/>
          <w:bCs w:val="0"/>
          <w:sz w:val="22"/>
          <w:szCs w:val="22"/>
          <w:lang w:val="en-US" w:eastAsia="zh-CN"/>
        </w:rPr>
        <w:t xml:space="preserve">     </w:t>
      </w:r>
      <w:r>
        <w:rPr>
          <w:rFonts w:hint="eastAsia" w:ascii="宋体" w:hAnsi="宋体"/>
          <w:b w:val="0"/>
          <w:bCs w:val="0"/>
          <w:sz w:val="22"/>
          <w:szCs w:val="22"/>
        </w:rPr>
        <w:t>年</w:t>
      </w:r>
      <w:r>
        <w:rPr>
          <w:rFonts w:hint="eastAsia" w:ascii="宋体" w:hAnsi="宋体"/>
          <w:b w:val="0"/>
          <w:bCs w:val="0"/>
          <w:sz w:val="22"/>
          <w:szCs w:val="22"/>
          <w:lang w:val="en-US" w:eastAsia="zh-CN"/>
        </w:rPr>
        <w:t xml:space="preserve">     </w:t>
      </w:r>
      <w:r>
        <w:rPr>
          <w:rFonts w:hint="eastAsia" w:ascii="宋体" w:hAnsi="宋体"/>
          <w:b w:val="0"/>
          <w:bCs w:val="0"/>
          <w:sz w:val="22"/>
          <w:szCs w:val="22"/>
        </w:rPr>
        <w:t>月</w:t>
      </w: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rPr>
      </w:pPr>
      <w:r>
        <w:rPr>
          <w:rFonts w:hint="eastAsia" w:ascii="宋体" w:hAnsi="宋体"/>
          <w:b/>
          <w:bCs/>
          <w:sz w:val="28"/>
          <w:szCs w:val="28"/>
          <w:lang w:val="en-US" w:eastAsia="zh-CN"/>
        </w:rPr>
        <w:t>（二）分项报价表</w:t>
      </w:r>
    </w:p>
    <w:p>
      <w:pPr>
        <w:spacing w:line="360" w:lineRule="auto"/>
        <w:ind w:right="349" w:rightChars="166"/>
        <w:rPr>
          <w:rFonts w:hint="eastAsia" w:ascii="宋体" w:hAnsi="宋体" w:eastAsia="宋体" w:cs="宋体"/>
          <w:sz w:val="24"/>
          <w:szCs w:val="24"/>
        </w:rPr>
      </w:pPr>
      <w:r>
        <w:rPr>
          <w:rFonts w:hint="eastAsia" w:ascii="新宋体" w:hAnsi="新宋体" w:eastAsia="新宋体" w:cs="新宋体"/>
          <w:b w:val="0"/>
          <w:bCs/>
          <w:color w:val="auto"/>
          <w:sz w:val="24"/>
          <w:szCs w:val="24"/>
          <w:highlight w:val="none"/>
        </w:rPr>
        <w:t>项目名称：</w:t>
      </w:r>
      <w:r>
        <w:rPr>
          <w:rFonts w:hint="eastAsia" w:ascii="宋体" w:hAnsi="宋体" w:eastAsia="宋体" w:cs="宋体"/>
          <w:b w:val="0"/>
          <w:bCs/>
          <w:color w:val="auto"/>
          <w:sz w:val="24"/>
          <w:szCs w:val="24"/>
          <w:highlight w:val="none"/>
          <w:lang w:val="en-US" w:eastAsia="zh-CN"/>
        </w:rPr>
        <w:t>温州市中医院</w:t>
      </w:r>
      <w:r>
        <w:rPr>
          <w:rFonts w:hint="eastAsia" w:ascii="宋体" w:hAnsi="宋体" w:cs="宋体"/>
          <w:b w:val="0"/>
          <w:bCs w:val="0"/>
          <w:sz w:val="24"/>
          <w:u w:val="none"/>
          <w:lang w:val="en-US" w:eastAsia="zh-CN"/>
        </w:rPr>
        <w:t>笔记本电脑</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sz w:val="24"/>
          <w:szCs w:val="24"/>
          <w:highlight w:val="none"/>
          <w:lang w:val="en-US" w:eastAsia="zh-CN"/>
        </w:rPr>
        <w:t xml:space="preserve">                                                    </w:t>
      </w:r>
      <w:r>
        <w:rPr>
          <w:rFonts w:hint="eastAsia" w:ascii="宋体" w:hAnsi="宋体" w:eastAsia="宋体" w:cs="宋体"/>
          <w:sz w:val="24"/>
          <w:szCs w:val="24"/>
        </w:rPr>
        <w:t>单位：元</w:t>
      </w:r>
      <w:r>
        <w:rPr>
          <w:rFonts w:hint="eastAsia" w:ascii="宋体" w:hAnsi="宋体" w:eastAsia="宋体" w:cs="宋体"/>
          <w:sz w:val="24"/>
          <w:szCs w:val="24"/>
          <w:lang w:eastAsia="zh-CN"/>
        </w:rPr>
        <w:t>（</w:t>
      </w:r>
      <w:r>
        <w:rPr>
          <w:rFonts w:hint="eastAsia" w:ascii="宋体" w:hAnsi="宋体" w:eastAsia="宋体" w:cs="宋体"/>
          <w:sz w:val="24"/>
          <w:szCs w:val="24"/>
        </w:rPr>
        <w:t>人民币</w:t>
      </w:r>
      <w:r>
        <w:rPr>
          <w:rFonts w:hint="eastAsia" w:ascii="宋体" w:hAnsi="宋体" w:eastAsia="宋体" w:cs="宋体"/>
          <w:sz w:val="24"/>
          <w:szCs w:val="24"/>
          <w:lang w:eastAsia="zh-CN"/>
        </w:rPr>
        <w:t>）</w:t>
      </w:r>
    </w:p>
    <w:tbl>
      <w:tblPr>
        <w:tblStyle w:val="13"/>
        <w:tblW w:w="145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1890"/>
        <w:gridCol w:w="2085"/>
        <w:gridCol w:w="2220"/>
        <w:gridCol w:w="1905"/>
        <w:gridCol w:w="1665"/>
        <w:gridCol w:w="216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品牌</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cs="宋体"/>
                <w:i w:val="0"/>
                <w:iCs w:val="0"/>
                <w:color w:val="000000"/>
                <w:kern w:val="0"/>
                <w:sz w:val="24"/>
                <w:szCs w:val="24"/>
                <w:u w:val="none"/>
                <w:lang w:val="en-US" w:eastAsia="zh-CN" w:bidi="ar"/>
              </w:rPr>
              <w:t>型号</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83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spacing w:line="380" w:lineRule="exact"/>
        <w:ind w:right="349" w:rightChars="166"/>
        <w:rPr>
          <w:rFonts w:hint="eastAsia" w:ascii="宋体" w:hAnsi="宋体"/>
          <w:sz w:val="22"/>
          <w:szCs w:val="22"/>
        </w:rPr>
      </w:pPr>
    </w:p>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sz w:val="22"/>
          <w:lang w:val="en-US" w:eastAsia="zh-CN"/>
        </w:rPr>
      </w:pPr>
      <w:r>
        <w:rPr>
          <w:rFonts w:hint="eastAsia" w:ascii="宋体" w:hAnsi="宋体"/>
          <w:b/>
          <w:sz w:val="22"/>
          <w:lang w:val="en-US" w:eastAsia="zh-CN"/>
        </w:rPr>
        <w:t>1、此表总计价应与上方“（一）报价一览表”中报价相一致。</w:t>
      </w:r>
    </w:p>
    <w:p>
      <w:pPr>
        <w:spacing w:line="380" w:lineRule="exact"/>
        <w:rPr>
          <w:rFonts w:hint="eastAsia" w:ascii="宋体" w:hAnsi="宋体"/>
          <w:b/>
          <w:sz w:val="22"/>
          <w:lang w:val="en-US" w:eastAsia="zh-CN"/>
        </w:rPr>
      </w:pPr>
      <w:r>
        <w:rPr>
          <w:rFonts w:hint="eastAsia" w:ascii="宋体" w:hAnsi="宋体"/>
          <w:b/>
          <w:sz w:val="22"/>
          <w:lang w:val="en-US" w:eastAsia="zh-CN"/>
        </w:rPr>
        <w:t>2、不提供详细分项报价将视为没有实质性响应招标文件。</w:t>
      </w:r>
    </w:p>
    <w:p>
      <w:pPr>
        <w:spacing w:line="380" w:lineRule="exact"/>
        <w:rPr>
          <w:rFonts w:hint="eastAsia" w:ascii="宋体" w:hAnsi="宋体"/>
          <w:b/>
          <w:sz w:val="22"/>
          <w:lang w:val="en-US" w:eastAsia="zh-CN"/>
        </w:rPr>
      </w:pPr>
      <w:r>
        <w:rPr>
          <w:rFonts w:hint="eastAsia" w:ascii="宋体" w:hAnsi="宋体"/>
          <w:b/>
          <w:sz w:val="22"/>
          <w:lang w:val="en-US" w:eastAsia="zh-CN"/>
        </w:rPr>
        <w:t>3、以上全部报价包含货物到达甲方并能正常使用所需的一切费用，包括但不限于包装费、运输费、装卸费、保险费、安装费以及保修费、税费等。</w:t>
      </w:r>
    </w:p>
    <w:p>
      <w:pPr>
        <w:spacing w:line="380" w:lineRule="exact"/>
        <w:rPr>
          <w:rFonts w:hint="eastAsia" w:ascii="宋体" w:hAnsi="宋体"/>
          <w:b/>
          <w:sz w:val="22"/>
          <w:lang w:val="en-US" w:eastAsia="zh-CN"/>
        </w:rPr>
      </w:pPr>
    </w:p>
    <w:p>
      <w:pPr>
        <w:spacing w:line="360" w:lineRule="auto"/>
        <w:rPr>
          <w:rFonts w:hint="eastAsia" w:ascii="宋体" w:hAnsi="宋体"/>
          <w:sz w:val="22"/>
          <w:szCs w:val="22"/>
        </w:rPr>
      </w:pPr>
    </w:p>
    <w:p>
      <w:pPr>
        <w:spacing w:line="360" w:lineRule="auto"/>
        <w:rPr>
          <w:rFonts w:hint="eastAsia" w:ascii="宋体" w:hAnsi="宋体"/>
          <w:sz w:val="22"/>
          <w:szCs w:val="22"/>
        </w:rPr>
      </w:pPr>
    </w:p>
    <w:p>
      <w:pPr>
        <w:spacing w:line="360" w:lineRule="auto"/>
        <w:rPr>
          <w:rFonts w:hint="eastAsia" w:ascii="宋体" w:hAnsi="宋体"/>
          <w:sz w:val="22"/>
          <w:szCs w:val="22"/>
        </w:rPr>
      </w:pPr>
      <w:r>
        <w:rPr>
          <w:rFonts w:hint="eastAsia" w:ascii="宋体" w:hAnsi="宋体"/>
          <w:sz w:val="22"/>
          <w:szCs w:val="22"/>
        </w:rPr>
        <w:t>供应商全称（盖章）：</w:t>
      </w:r>
    </w:p>
    <w:p>
      <w:pPr>
        <w:spacing w:line="360" w:lineRule="auto"/>
        <w:rPr>
          <w:rFonts w:hint="eastAsia"/>
        </w:rPr>
      </w:pPr>
      <w:r>
        <w:rPr>
          <w:rFonts w:hint="eastAsia" w:ascii="宋体" w:hAnsi="宋体"/>
          <w:sz w:val="22"/>
          <w:szCs w:val="22"/>
        </w:rPr>
        <w:t xml:space="preserve">日 期：  </w:t>
      </w:r>
      <w:r>
        <w:rPr>
          <w:rFonts w:hint="eastAsia" w:ascii="宋体" w:hAnsi="宋体"/>
          <w:sz w:val="22"/>
          <w:szCs w:val="22"/>
          <w:lang w:val="en-US" w:eastAsia="zh-CN"/>
        </w:rPr>
        <w:t xml:space="preserve">   </w:t>
      </w:r>
      <w:r>
        <w:rPr>
          <w:rFonts w:hint="eastAsia" w:ascii="宋体" w:hAnsi="宋体"/>
          <w:sz w:val="22"/>
          <w:szCs w:val="22"/>
        </w:rPr>
        <w:t xml:space="preserve">年  </w:t>
      </w:r>
      <w:r>
        <w:rPr>
          <w:rFonts w:hint="eastAsia" w:ascii="宋体" w:hAnsi="宋体"/>
          <w:sz w:val="22"/>
          <w:szCs w:val="22"/>
          <w:lang w:val="en-US" w:eastAsia="zh-CN"/>
        </w:rPr>
        <w:t xml:space="preserve">   </w:t>
      </w:r>
      <w:r>
        <w:rPr>
          <w:rFonts w:hint="eastAsia" w:ascii="宋体" w:hAnsi="宋体"/>
          <w:sz w:val="22"/>
          <w:szCs w:val="22"/>
        </w:rPr>
        <w:t xml:space="preserve">月  </w:t>
      </w:r>
      <w:r>
        <w:rPr>
          <w:rFonts w:hint="eastAsia" w:ascii="宋体" w:hAnsi="宋体"/>
          <w:sz w:val="22"/>
          <w:szCs w:val="22"/>
          <w:lang w:val="en-US" w:eastAsia="zh-CN"/>
        </w:rPr>
        <w:t xml:space="preserve">   </w:t>
      </w:r>
      <w:r>
        <w:rPr>
          <w:rFonts w:hint="eastAsia" w:ascii="宋体" w:hAnsi="宋体"/>
          <w:sz w:val="22"/>
          <w:szCs w:val="22"/>
        </w:rPr>
        <w:t>日</w:t>
      </w:r>
    </w:p>
    <w:p>
      <w:pPr>
        <w:pStyle w:val="7"/>
        <w:ind w:left="0" w:leftChars="0" w:firstLine="0" w:firstLineChars="0"/>
      </w:pPr>
    </w:p>
    <w:p>
      <w:pPr>
        <w:pStyle w:val="7"/>
        <w:numPr>
          <w:ilvl w:val="0"/>
          <w:numId w:val="0"/>
        </w:numPr>
        <w:spacing w:line="360" w:lineRule="auto"/>
        <w:ind w:firstLine="480" w:firstLineChars="200"/>
        <w:rPr>
          <w:rFonts w:hint="default"/>
          <w:sz w:val="24"/>
          <w:szCs w:val="24"/>
          <w:lang w:val="en-US" w:eastAsia="zh-CN"/>
        </w:rPr>
      </w:pPr>
    </w:p>
    <w:sectPr>
      <w:pgSz w:w="16838" w:h="11906" w:orient="landscape"/>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fldChar w:fldCharType="begin"/>
    </w:r>
    <w:r>
      <w:rPr>
        <w:rStyle w:val="16"/>
      </w:rPr>
      <w:instrText xml:space="preserve"> PAGE </w:instrText>
    </w:r>
    <w:r>
      <w:fldChar w:fldCharType="separate"/>
    </w:r>
    <w:r>
      <w:rPr>
        <w:rStyle w:val="16"/>
      </w:rPr>
      <w:t>- 1 -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EA52"/>
    <w:multiLevelType w:val="singleLevel"/>
    <w:tmpl w:val="A40DEA52"/>
    <w:lvl w:ilvl="0" w:tentative="0">
      <w:start w:val="3"/>
      <w:numFmt w:val="decimal"/>
      <w:suff w:val="nothing"/>
      <w:lvlText w:val="（%1）"/>
      <w:lvlJc w:val="left"/>
    </w:lvl>
  </w:abstractNum>
  <w:abstractNum w:abstractNumId="1">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EE202FD"/>
    <w:multiLevelType w:val="singleLevel"/>
    <w:tmpl w:val="7EE202F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00A02A37"/>
    <w:rsid w:val="0007646E"/>
    <w:rsid w:val="002A0406"/>
    <w:rsid w:val="007373BC"/>
    <w:rsid w:val="00A02A37"/>
    <w:rsid w:val="00A457FA"/>
    <w:rsid w:val="00F0269D"/>
    <w:rsid w:val="01E762E7"/>
    <w:rsid w:val="03447E8E"/>
    <w:rsid w:val="04684506"/>
    <w:rsid w:val="06043E9E"/>
    <w:rsid w:val="06E15E3C"/>
    <w:rsid w:val="0C300A04"/>
    <w:rsid w:val="10C71F5A"/>
    <w:rsid w:val="192A3988"/>
    <w:rsid w:val="1D3C515C"/>
    <w:rsid w:val="22285365"/>
    <w:rsid w:val="226E2973"/>
    <w:rsid w:val="229D2E28"/>
    <w:rsid w:val="291122AA"/>
    <w:rsid w:val="2B6947FB"/>
    <w:rsid w:val="2B8B6847"/>
    <w:rsid w:val="2C6763C9"/>
    <w:rsid w:val="2C77430D"/>
    <w:rsid w:val="2EBF307B"/>
    <w:rsid w:val="321B0A6F"/>
    <w:rsid w:val="3252214B"/>
    <w:rsid w:val="32E53E60"/>
    <w:rsid w:val="36942C63"/>
    <w:rsid w:val="37B235FD"/>
    <w:rsid w:val="397A2D47"/>
    <w:rsid w:val="3B0B6220"/>
    <w:rsid w:val="462A298B"/>
    <w:rsid w:val="47FD3F63"/>
    <w:rsid w:val="48C84ABD"/>
    <w:rsid w:val="48F2201E"/>
    <w:rsid w:val="4C215AB1"/>
    <w:rsid w:val="4FD147A1"/>
    <w:rsid w:val="502926AC"/>
    <w:rsid w:val="522E2CD6"/>
    <w:rsid w:val="536C61AC"/>
    <w:rsid w:val="586D09FC"/>
    <w:rsid w:val="59401D98"/>
    <w:rsid w:val="5A0F768E"/>
    <w:rsid w:val="5A3C73F0"/>
    <w:rsid w:val="62BD2580"/>
    <w:rsid w:val="63A66B70"/>
    <w:rsid w:val="66C01A18"/>
    <w:rsid w:val="6EAD47D5"/>
    <w:rsid w:val="747B3DF6"/>
    <w:rsid w:val="75956E1A"/>
    <w:rsid w:val="75CE1AEC"/>
    <w:rsid w:val="7C0E1C8F"/>
    <w:rsid w:val="7C812208"/>
    <w:rsid w:val="7CB726B6"/>
    <w:rsid w:val="7CC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312" w:lineRule="atLeast"/>
      <w:ind w:firstLine="420"/>
      <w:textAlignment w:val="baseline"/>
    </w:pPr>
    <w:rPr>
      <w:rFonts w:ascii="仿宋_GB2312"/>
      <w:b/>
      <w:kern w:val="0"/>
      <w:szCs w:val="32"/>
    </w:rPr>
  </w:style>
  <w:style w:type="paragraph" w:styleId="5">
    <w:name w:val="Body Text"/>
    <w:basedOn w:val="1"/>
    <w:next w:val="1"/>
    <w:autoRedefine/>
    <w:qFormat/>
    <w:uiPriority w:val="0"/>
    <w:pPr>
      <w:spacing w:after="120" w:afterLines="0"/>
    </w:pPr>
  </w:style>
  <w:style w:type="paragraph" w:styleId="6">
    <w:name w:val="Body Text Indent"/>
    <w:basedOn w:val="1"/>
    <w:next w:val="7"/>
    <w:autoRedefine/>
    <w:qFormat/>
    <w:uiPriority w:val="0"/>
    <w:pPr>
      <w:ind w:firstLine="555"/>
    </w:pPr>
  </w:style>
  <w:style w:type="paragraph" w:styleId="7">
    <w:name w:val="Body Text First Indent 2"/>
    <w:basedOn w:val="6"/>
    <w:autoRedefine/>
    <w:unhideWhenUsed/>
    <w:qFormat/>
    <w:uiPriority w:val="99"/>
    <w:pPr>
      <w:ind w:firstLine="420" w:firstLineChars="200"/>
    </w:pPr>
  </w:style>
  <w:style w:type="paragraph" w:styleId="8">
    <w:name w:val="Plain Text"/>
    <w:basedOn w:val="1"/>
    <w:autoRedefine/>
    <w:qFormat/>
    <w:uiPriority w:val="0"/>
    <w:pPr>
      <w:spacing w:beforeLines="50" w:afterLines="50" w:line="400" w:lineRule="exact"/>
    </w:pPr>
    <w:rPr>
      <w:rFonts w:ascii="宋体" w:hAnsi="Courier New"/>
      <w:sz w:val="24"/>
    </w:rPr>
  </w:style>
  <w:style w:type="paragraph" w:styleId="9">
    <w:name w:val="Balloon Text"/>
    <w:basedOn w:val="1"/>
    <w:link w:val="18"/>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5"/>
    <w:autoRedefine/>
    <w:qFormat/>
    <w:uiPriority w:val="0"/>
    <w:pPr>
      <w:ind w:firstLine="420" w:firstLineChars="100"/>
    </w:pPr>
    <w:rPr>
      <w:b/>
      <w:bCs/>
      <w:szCs w:val="24"/>
    </w:r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000FF"/>
      <w:u w:val="single"/>
    </w:rPr>
  </w:style>
  <w:style w:type="character" w:customStyle="1" w:styleId="18">
    <w:name w:val="批注框文本 Char"/>
    <w:basedOn w:val="14"/>
    <w:link w:val="9"/>
    <w:autoRedefine/>
    <w:qFormat/>
    <w:uiPriority w:val="0"/>
    <w:rPr>
      <w:rFonts w:asciiTheme="minorHAnsi" w:hAnsiTheme="minorHAnsi" w:eastAsiaTheme="minorEastAsia" w:cstheme="minorBidi"/>
      <w:kern w:val="2"/>
      <w:sz w:val="18"/>
      <w:szCs w:val="18"/>
    </w:rPr>
  </w:style>
  <w:style w:type="character" w:customStyle="1" w:styleId="19">
    <w:name w:val="font31"/>
    <w:basedOn w:val="14"/>
    <w:autoRedefine/>
    <w:qFormat/>
    <w:uiPriority w:val="0"/>
    <w:rPr>
      <w:rFonts w:hint="eastAsia" w:ascii="宋体" w:hAnsi="宋体" w:eastAsia="宋体" w:cs="宋体"/>
      <w:color w:val="000000"/>
      <w:sz w:val="22"/>
      <w:szCs w:val="22"/>
      <w:u w:val="none"/>
    </w:rPr>
  </w:style>
  <w:style w:type="character" w:customStyle="1" w:styleId="20">
    <w:name w:val="font01"/>
    <w:basedOn w:val="14"/>
    <w:autoRedefine/>
    <w:qFormat/>
    <w:uiPriority w:val="0"/>
    <w:rPr>
      <w:rFonts w:hint="eastAsia" w:ascii="宋体" w:hAnsi="宋体" w:eastAsia="宋体" w:cs="宋体"/>
      <w:color w:val="000000"/>
      <w:sz w:val="22"/>
      <w:szCs w:val="22"/>
      <w:u w:val="none"/>
    </w:rPr>
  </w:style>
  <w:style w:type="character" w:customStyle="1" w:styleId="21">
    <w:name w:val="font2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2620</Words>
  <Characters>2797</Characters>
  <Lines>1</Lines>
  <Paragraphs>1</Paragraphs>
  <TotalTime>177</TotalTime>
  <ScaleCrop>false</ScaleCrop>
  <LinksUpToDate>false</LinksUpToDate>
  <CharactersWithSpaces>2857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市渔业应急处置指挥中心</cp:lastModifiedBy>
  <dcterms:modified xsi:type="dcterms:W3CDTF">2025-07-23T01:37:59Z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0DCF562098774543BC7C1908BB17A16F_13</vt:lpwstr>
  </property>
</Properties>
</file>